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9" w:rsidRDefault="00DD6259" w:rsidP="00DD6259">
      <w:pPr>
        <w:pStyle w:val="Heading1"/>
      </w:pPr>
      <w:r>
        <w:t>Shared Access to Data</w:t>
      </w:r>
      <w:r w:rsidR="00C52804">
        <w:t xml:space="preserve"> </w:t>
      </w:r>
      <w:r w:rsidR="00C52804" w:rsidRPr="00C52804">
        <w:t>and Information at a Regional Level</w:t>
      </w:r>
    </w:p>
    <w:p w:rsidR="00DD6259" w:rsidRPr="00E04AA5" w:rsidRDefault="00DD6259" w:rsidP="00DD6259">
      <w:pPr>
        <w:pStyle w:val="Heading2"/>
      </w:pPr>
      <w:r w:rsidRPr="00DD6259">
        <w:rPr>
          <w:b/>
        </w:rPr>
        <w:t>Priority Reform Four</w:t>
      </w:r>
      <w:r w:rsidRPr="00DD6259">
        <w:t>,</w:t>
      </w:r>
      <w:r>
        <w:t xml:space="preserve"> National Agreement on Closing the Gap</w:t>
      </w:r>
    </w:p>
    <w:p w:rsidR="00DD6259" w:rsidRPr="00DD6259" w:rsidRDefault="00DD6259" w:rsidP="00DD6259">
      <w:pPr>
        <w:rPr>
          <w:rStyle w:val="IntenseEmphasis"/>
        </w:rPr>
      </w:pPr>
      <w:r w:rsidRPr="00DD6259">
        <w:rPr>
          <w:rStyle w:val="IntenseEmphasis"/>
        </w:rPr>
        <w:t xml:space="preserve"> “Collect, analyse, use our own data to meet our own needs. It’s our information and we should use it for our own purposes as decided by us.” </w:t>
      </w:r>
    </w:p>
    <w:p w:rsidR="00DD6259" w:rsidRDefault="00DD6259" w:rsidP="00DD6259">
      <w:pPr>
        <w:rPr>
          <w:rStyle w:val="IntenseEmphasis"/>
          <w:b/>
        </w:rPr>
      </w:pPr>
      <w:r w:rsidRPr="00DD6259">
        <w:rPr>
          <w:rStyle w:val="IntenseEmphasis"/>
          <w:b/>
        </w:rPr>
        <w:t>– Engagement survey participant from New South Wales</w:t>
      </w:r>
    </w:p>
    <w:p w:rsidR="00DD6259" w:rsidRPr="00DD6259" w:rsidRDefault="00DD6259" w:rsidP="00DD6259">
      <w:pPr>
        <w:rPr>
          <w:rStyle w:val="IntenseEmphasis"/>
          <w:b/>
        </w:rPr>
      </w:pPr>
    </w:p>
    <w:p w:rsidR="00DD6259" w:rsidRDefault="00DD6259" w:rsidP="00DD6259">
      <w:pPr>
        <w:rPr>
          <w:lang w:val="en-US"/>
        </w:rPr>
      </w:pPr>
      <w:r>
        <w:rPr>
          <w:lang w:val="en-US"/>
        </w:rPr>
        <w:t xml:space="preserve">Governments commit to enable shared access to location specific data and information for Aboriginal and Torres Strait Islander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DD6259" w:rsidRDefault="00DD6259" w:rsidP="00DD6259">
      <w:pPr>
        <w:rPr>
          <w:lang w:val="en-US"/>
        </w:rPr>
      </w:pPr>
      <w:r>
        <w:rPr>
          <w:lang w:val="en-US"/>
        </w:rPr>
        <w:t xml:space="preserve">Disaggregated data and information is most useful to Aboriginal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communities to obtain a comprehensive picture of what is happening in their communities and to make decisions about their futures.</w:t>
      </w:r>
    </w:p>
    <w:p w:rsidR="00DD6259" w:rsidRDefault="00DD6259" w:rsidP="00DD6259">
      <w:pPr>
        <w:pStyle w:val="Heading3"/>
      </w:pPr>
      <w:r>
        <w:t>Data and Information Sharing Elements</w:t>
      </w:r>
      <w:bookmarkStart w:id="0" w:name="_GoBack"/>
      <w:bookmarkEnd w:id="0"/>
    </w:p>
    <w:p w:rsidR="00DD6259" w:rsidRDefault="00DD6259" w:rsidP="00DD6259">
      <w:pPr>
        <w:rPr>
          <w:lang w:val="en-US"/>
        </w:rPr>
      </w:pPr>
      <w:r>
        <w:rPr>
          <w:lang w:val="en-US"/>
        </w:rPr>
        <w:t xml:space="preserve">Data and information sharing practice elements between governments and Aboriginal and Torres Strait Islander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contain the following features:</w:t>
      </w:r>
    </w:p>
    <w:p w:rsidR="00DD6259" w:rsidRDefault="00DD6259" w:rsidP="00DD625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Partnerships in place to guide the improved collections, access, management and use of data to inform shared decision-making</w:t>
      </w:r>
    </w:p>
    <w:p w:rsidR="00DD6259" w:rsidRDefault="00DD6259" w:rsidP="00DD625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Governments provide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with access to the same data and information they use to make decisions</w:t>
      </w:r>
    </w:p>
    <w:p w:rsidR="00DD6259" w:rsidRDefault="00DD6259" w:rsidP="00DD625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Governments collect, handle and report data at sufficient levels of disaggregation, and in an accessible and timely way</w:t>
      </w:r>
    </w:p>
    <w:p w:rsidR="00DD6259" w:rsidRPr="00E04AA5" w:rsidRDefault="00DD6259" w:rsidP="00DD625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Aboriginal and Torres Strait Islander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are supported by governments to build capability and expertise in collecting, using and interpreting data in a meaningful way</w:t>
      </w:r>
    </w:p>
    <w:p w:rsidR="00DD6259" w:rsidRDefault="00DD6259" w:rsidP="00DD6259">
      <w:pPr>
        <w:pStyle w:val="Heading3"/>
      </w:pPr>
      <w:r>
        <w:t>Government Actions under the National Agreement</w:t>
      </w:r>
    </w:p>
    <w:p w:rsidR="00DD6259" w:rsidRDefault="00DD6259" w:rsidP="00DD6259">
      <w:pPr>
        <w:rPr>
          <w:lang w:val="en-US"/>
        </w:rPr>
      </w:pPr>
      <w:r>
        <w:rPr>
          <w:lang w:val="en-US"/>
        </w:rPr>
        <w:t>Governments commit to implementing the data and information elements, including to:</w:t>
      </w:r>
    </w:p>
    <w:p w:rsidR="00DD6259" w:rsidRDefault="00DD6259" w:rsidP="00DD625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Share available, disaggregated regional data and information with Aboriginal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communities</w:t>
      </w:r>
    </w:p>
    <w:p w:rsidR="00DD6259" w:rsidRDefault="00DD6259" w:rsidP="00DD625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Establish partnerships between Aboriginal and Torres Strait Islander people and government agencies to improve collection, access, management and use of data</w:t>
      </w:r>
    </w:p>
    <w:p w:rsidR="00DD6259" w:rsidRDefault="00DD6259" w:rsidP="00DD625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Make their data more transparent by telling Aboriginal and Torres Strait Islander people what data they have and how it can be accessed</w:t>
      </w:r>
    </w:p>
    <w:p w:rsidR="00DD6259" w:rsidRPr="002037AE" w:rsidRDefault="00DD6259" w:rsidP="00DD6259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Build capacity of Aboriginal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communities to collect and use data.</w:t>
      </w:r>
    </w:p>
    <w:p w:rsidR="00DD6259" w:rsidRDefault="00DD6259" w:rsidP="00DD6259">
      <w:pPr>
        <w:pStyle w:val="Heading3"/>
      </w:pPr>
      <w:r>
        <w:lastRenderedPageBreak/>
        <w:t>Partnership Actions under the National Agreement</w:t>
      </w:r>
    </w:p>
    <w:p w:rsidR="00DD6259" w:rsidRDefault="00DD6259" w:rsidP="00DD6259">
      <w:pPr>
        <w:rPr>
          <w:lang w:val="en-US"/>
        </w:rPr>
      </w:pPr>
      <w:r>
        <w:rPr>
          <w:lang w:val="en-US"/>
        </w:rPr>
        <w:t>Governments will establish data projects in up to six locations across Australia. The data projects will:</w:t>
      </w:r>
    </w:p>
    <w:p w:rsidR="00DD6259" w:rsidRDefault="00DD6259" w:rsidP="00DD6259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support Aboriginal and Torres Strait Islander communities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and use regional specific data to help drive their own development and discussions with governments</w:t>
      </w:r>
    </w:p>
    <w:p w:rsidR="00DD6259" w:rsidRDefault="00DD6259" w:rsidP="00DD6259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enable Aboriginal and Torres Strait Islander communities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to collect and access other data which they consider important</w:t>
      </w:r>
    </w:p>
    <w:p w:rsidR="006D0E9E" w:rsidRDefault="00DD6259" w:rsidP="00DD6259">
      <w:pPr>
        <w:pStyle w:val="ListParagraph"/>
        <w:numPr>
          <w:ilvl w:val="0"/>
          <w:numId w:val="18"/>
        </w:num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covered by localis</w:t>
      </w:r>
      <w:r w:rsidRPr="00DD6259">
        <w:rPr>
          <w:lang w:val="en-US"/>
        </w:rPr>
        <w:t xml:space="preserve">ed agreements between governments and participating Aboriginal and Torres Strait Islander </w:t>
      </w:r>
      <w:proofErr w:type="spellStart"/>
      <w:r w:rsidRPr="00DD6259">
        <w:rPr>
          <w:lang w:val="en-US"/>
        </w:rPr>
        <w:t>organisations</w:t>
      </w:r>
      <w:proofErr w:type="spellEnd"/>
      <w:r w:rsidRPr="00DD6259">
        <w:rPr>
          <w:lang w:val="en-US"/>
        </w:rPr>
        <w:t xml:space="preserve"> in the region.</w:t>
      </w:r>
    </w:p>
    <w:sectPr w:rsidR="006D0E9E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49" w:rsidRDefault="000E6C49" w:rsidP="000E6C49">
      <w:pPr>
        <w:spacing w:after="0" w:line="240" w:lineRule="auto"/>
      </w:pPr>
      <w:r>
        <w:separator/>
      </w:r>
    </w:p>
  </w:endnote>
  <w:end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49" w:rsidRDefault="000E6C49" w:rsidP="000E6C49">
      <w:pPr>
        <w:spacing w:after="0" w:line="240" w:lineRule="auto"/>
      </w:pPr>
      <w:r>
        <w:separator/>
      </w:r>
    </w:p>
  </w:footnote>
  <w:foot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4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6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20D"/>
    <w:multiLevelType w:val="hybridMultilevel"/>
    <w:tmpl w:val="BE26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684"/>
    <w:multiLevelType w:val="hybridMultilevel"/>
    <w:tmpl w:val="356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5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6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7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8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327262"/>
    <w:rsid w:val="003302ED"/>
    <w:rsid w:val="00353A99"/>
    <w:rsid w:val="003F7FDC"/>
    <w:rsid w:val="004825EE"/>
    <w:rsid w:val="004873BD"/>
    <w:rsid w:val="005230F3"/>
    <w:rsid w:val="0054517B"/>
    <w:rsid w:val="005624AE"/>
    <w:rsid w:val="00592F99"/>
    <w:rsid w:val="005A6109"/>
    <w:rsid w:val="006C57B2"/>
    <w:rsid w:val="006D0E9E"/>
    <w:rsid w:val="007154E5"/>
    <w:rsid w:val="007D3CE7"/>
    <w:rsid w:val="00813B44"/>
    <w:rsid w:val="00970A97"/>
    <w:rsid w:val="00975C4D"/>
    <w:rsid w:val="00A07A0A"/>
    <w:rsid w:val="00A34367"/>
    <w:rsid w:val="00AC7873"/>
    <w:rsid w:val="00C420FD"/>
    <w:rsid w:val="00C52804"/>
    <w:rsid w:val="00C832F4"/>
    <w:rsid w:val="00D24497"/>
    <w:rsid w:val="00D929ED"/>
    <w:rsid w:val="00D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8FBB5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0BB4-1A31-48BB-9ACF-AB95F164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 2020: Priority Reform 4</dc:title>
  <dc:subject/>
  <dc:creator>National Indigenous Australians Agency</dc:creator>
  <cp:keywords/>
  <dc:description/>
  <cp:revision>3</cp:revision>
  <dcterms:created xsi:type="dcterms:W3CDTF">2020-07-23T23:29:00Z</dcterms:created>
  <dcterms:modified xsi:type="dcterms:W3CDTF">2020-07-24T01:32:00Z</dcterms:modified>
</cp:coreProperties>
</file>