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16C65" w14:textId="14EFD88D" w:rsidR="00CE1B37" w:rsidRDefault="005D5FDE" w:rsidP="00036CD7">
      <w:pPr>
        <w:jc w:val="center"/>
        <w:outlineLvl w:val="0"/>
        <w:rPr>
          <w:b/>
          <w:color w:val="1F3864" w:themeColor="accent1" w:themeShade="80"/>
          <w:sz w:val="30"/>
          <w:szCs w:val="30"/>
        </w:rPr>
      </w:pPr>
      <w:r w:rsidRPr="00CE1B37">
        <w:rPr>
          <w:b/>
          <w:color w:val="1F3864" w:themeColor="accent1" w:themeShade="80"/>
          <w:sz w:val="30"/>
          <w:szCs w:val="30"/>
        </w:rPr>
        <w:t xml:space="preserve">Sector Strengthening Plan: </w:t>
      </w:r>
      <w:r w:rsidR="00BA5614">
        <w:rPr>
          <w:b/>
          <w:color w:val="1F3864" w:themeColor="accent1" w:themeShade="80"/>
          <w:sz w:val="30"/>
          <w:szCs w:val="30"/>
        </w:rPr>
        <w:t>Health</w:t>
      </w:r>
    </w:p>
    <w:p w14:paraId="429A2683" w14:textId="5A44C483" w:rsidR="005D5FDE" w:rsidRDefault="005D5FDE" w:rsidP="005D5FDE">
      <w:pPr>
        <w:rPr>
          <w:lang w:val="en-AU"/>
        </w:rPr>
      </w:pPr>
    </w:p>
    <w:sdt>
      <w:sdtPr>
        <w:rPr>
          <w:rFonts w:asciiTheme="minorHAnsi" w:eastAsiaTheme="minorHAnsi" w:hAnsiTheme="minorHAnsi" w:cstheme="minorBidi"/>
          <w:color w:val="auto"/>
          <w:sz w:val="22"/>
          <w:szCs w:val="22"/>
          <w:lang w:val="en-GB"/>
        </w:rPr>
        <w:id w:val="-462580704"/>
        <w:docPartObj>
          <w:docPartGallery w:val="Table of Contents"/>
          <w:docPartUnique/>
        </w:docPartObj>
      </w:sdtPr>
      <w:sdtEndPr>
        <w:rPr>
          <w:b/>
          <w:bCs/>
          <w:noProof/>
        </w:rPr>
      </w:sdtEndPr>
      <w:sdtContent>
        <w:p w14:paraId="6D7A4B9D" w14:textId="77777777" w:rsidR="00C05DE2" w:rsidRDefault="001277F9" w:rsidP="00036CD7">
          <w:pPr>
            <w:pStyle w:val="TOCHeading"/>
            <w:outlineLvl w:val="1"/>
            <w:rPr>
              <w:noProof/>
            </w:rPr>
          </w:pPr>
          <w:r>
            <w:t>Contents</w:t>
          </w:r>
          <w:r>
            <w:fldChar w:fldCharType="begin"/>
          </w:r>
          <w:r>
            <w:instrText xml:space="preserve"> TOC \o "1-3" \h \z \u </w:instrText>
          </w:r>
          <w:r>
            <w:fldChar w:fldCharType="separate"/>
          </w:r>
        </w:p>
        <w:p w14:paraId="07B3B4DC" w14:textId="7FB8CFDE" w:rsidR="00C05DE2" w:rsidRDefault="00C120CA">
          <w:pPr>
            <w:pStyle w:val="TOC1"/>
            <w:tabs>
              <w:tab w:val="right" w:leader="dot" w:pos="9016"/>
            </w:tabs>
            <w:rPr>
              <w:rFonts w:eastAsiaTheme="minorEastAsia"/>
              <w:noProof/>
              <w:lang w:val="en-AU" w:eastAsia="en-AU"/>
            </w:rPr>
          </w:pPr>
          <w:hyperlink w:anchor="_Toc88818184" w:history="1">
            <w:r w:rsidR="00C05DE2" w:rsidRPr="00AE78AE">
              <w:rPr>
                <w:rStyle w:val="Hyperlink"/>
                <w:noProof/>
              </w:rPr>
              <w:t>Date Approved by Joint Council</w:t>
            </w:r>
            <w:r w:rsidR="00C05DE2">
              <w:rPr>
                <w:noProof/>
                <w:webHidden/>
              </w:rPr>
              <w:tab/>
            </w:r>
            <w:r w:rsidR="00C05DE2">
              <w:rPr>
                <w:noProof/>
                <w:webHidden/>
              </w:rPr>
              <w:fldChar w:fldCharType="begin"/>
            </w:r>
            <w:r w:rsidR="00C05DE2">
              <w:rPr>
                <w:noProof/>
                <w:webHidden/>
              </w:rPr>
              <w:instrText xml:space="preserve"> PAGEREF _Toc88818184 \h </w:instrText>
            </w:r>
            <w:r w:rsidR="00C05DE2">
              <w:rPr>
                <w:noProof/>
                <w:webHidden/>
              </w:rPr>
            </w:r>
            <w:r w:rsidR="00C05DE2">
              <w:rPr>
                <w:noProof/>
                <w:webHidden/>
              </w:rPr>
              <w:fldChar w:fldCharType="separate"/>
            </w:r>
            <w:r w:rsidR="005C7BB6">
              <w:rPr>
                <w:noProof/>
                <w:webHidden/>
              </w:rPr>
              <w:t>2</w:t>
            </w:r>
            <w:r w:rsidR="00C05DE2">
              <w:rPr>
                <w:noProof/>
                <w:webHidden/>
              </w:rPr>
              <w:fldChar w:fldCharType="end"/>
            </w:r>
          </w:hyperlink>
        </w:p>
        <w:p w14:paraId="142E01EA" w14:textId="616A8913" w:rsidR="00C05DE2" w:rsidRDefault="00C120CA">
          <w:pPr>
            <w:pStyle w:val="TOC1"/>
            <w:tabs>
              <w:tab w:val="right" w:leader="dot" w:pos="9016"/>
            </w:tabs>
            <w:rPr>
              <w:rFonts w:eastAsiaTheme="minorEastAsia"/>
              <w:noProof/>
              <w:lang w:val="en-AU" w:eastAsia="en-AU"/>
            </w:rPr>
          </w:pPr>
          <w:hyperlink w:anchor="_Toc88818185" w:history="1">
            <w:r w:rsidR="00C05DE2" w:rsidRPr="00AE78AE">
              <w:rPr>
                <w:rStyle w:val="Hyperlink"/>
                <w:noProof/>
              </w:rPr>
              <w:t>Executive Summary</w:t>
            </w:r>
            <w:r w:rsidR="00C05DE2">
              <w:rPr>
                <w:noProof/>
                <w:webHidden/>
              </w:rPr>
              <w:tab/>
            </w:r>
            <w:r w:rsidR="00C05DE2">
              <w:rPr>
                <w:noProof/>
                <w:webHidden/>
              </w:rPr>
              <w:fldChar w:fldCharType="begin"/>
            </w:r>
            <w:r w:rsidR="00C05DE2">
              <w:rPr>
                <w:noProof/>
                <w:webHidden/>
              </w:rPr>
              <w:instrText xml:space="preserve"> PAGEREF _Toc88818185 \h </w:instrText>
            </w:r>
            <w:r w:rsidR="00C05DE2">
              <w:rPr>
                <w:noProof/>
                <w:webHidden/>
              </w:rPr>
            </w:r>
            <w:r w:rsidR="00C05DE2">
              <w:rPr>
                <w:noProof/>
                <w:webHidden/>
              </w:rPr>
              <w:fldChar w:fldCharType="separate"/>
            </w:r>
            <w:r w:rsidR="005C7BB6">
              <w:rPr>
                <w:noProof/>
                <w:webHidden/>
              </w:rPr>
              <w:t>2</w:t>
            </w:r>
            <w:r w:rsidR="00C05DE2">
              <w:rPr>
                <w:noProof/>
                <w:webHidden/>
              </w:rPr>
              <w:fldChar w:fldCharType="end"/>
            </w:r>
          </w:hyperlink>
        </w:p>
        <w:p w14:paraId="440C2501" w14:textId="2077F5A9" w:rsidR="00C05DE2" w:rsidRDefault="00C120CA">
          <w:pPr>
            <w:pStyle w:val="TOC1"/>
            <w:tabs>
              <w:tab w:val="right" w:leader="dot" w:pos="9016"/>
            </w:tabs>
            <w:rPr>
              <w:rFonts w:eastAsiaTheme="minorEastAsia"/>
              <w:noProof/>
              <w:lang w:val="en-AU" w:eastAsia="en-AU"/>
            </w:rPr>
          </w:pPr>
          <w:hyperlink w:anchor="_Toc88818186" w:history="1">
            <w:r w:rsidR="00C05DE2" w:rsidRPr="00AE78AE">
              <w:rPr>
                <w:rStyle w:val="Hyperlink"/>
                <w:noProof/>
              </w:rPr>
              <w:t>National Agreement on Closing the Gap</w:t>
            </w:r>
            <w:r w:rsidR="00C05DE2">
              <w:rPr>
                <w:noProof/>
                <w:webHidden/>
              </w:rPr>
              <w:tab/>
            </w:r>
            <w:r w:rsidR="00C05DE2">
              <w:rPr>
                <w:noProof/>
                <w:webHidden/>
              </w:rPr>
              <w:fldChar w:fldCharType="begin"/>
            </w:r>
            <w:r w:rsidR="00C05DE2">
              <w:rPr>
                <w:noProof/>
                <w:webHidden/>
              </w:rPr>
              <w:instrText xml:space="preserve"> PAGEREF _Toc88818186 \h </w:instrText>
            </w:r>
            <w:r w:rsidR="00C05DE2">
              <w:rPr>
                <w:noProof/>
                <w:webHidden/>
              </w:rPr>
            </w:r>
            <w:r w:rsidR="00C05DE2">
              <w:rPr>
                <w:noProof/>
                <w:webHidden/>
              </w:rPr>
              <w:fldChar w:fldCharType="separate"/>
            </w:r>
            <w:r w:rsidR="005C7BB6">
              <w:rPr>
                <w:noProof/>
                <w:webHidden/>
              </w:rPr>
              <w:t>2</w:t>
            </w:r>
            <w:r w:rsidR="00C05DE2">
              <w:rPr>
                <w:noProof/>
                <w:webHidden/>
              </w:rPr>
              <w:fldChar w:fldCharType="end"/>
            </w:r>
          </w:hyperlink>
        </w:p>
        <w:p w14:paraId="20F47DA5" w14:textId="79C9DB73" w:rsidR="00C05DE2" w:rsidRDefault="00C120CA">
          <w:pPr>
            <w:pStyle w:val="TOC1"/>
            <w:tabs>
              <w:tab w:val="right" w:leader="dot" w:pos="9016"/>
            </w:tabs>
            <w:rPr>
              <w:rFonts w:eastAsiaTheme="minorEastAsia"/>
              <w:noProof/>
              <w:lang w:val="en-AU" w:eastAsia="en-AU"/>
            </w:rPr>
          </w:pPr>
          <w:hyperlink w:anchor="_Toc88818187" w:history="1">
            <w:r w:rsidR="00C05DE2" w:rsidRPr="00AE78AE">
              <w:rPr>
                <w:rStyle w:val="Hyperlink"/>
                <w:noProof/>
              </w:rPr>
              <w:t>Governance of the Plan</w:t>
            </w:r>
            <w:r w:rsidR="00C05DE2">
              <w:rPr>
                <w:noProof/>
                <w:webHidden/>
              </w:rPr>
              <w:tab/>
            </w:r>
            <w:r w:rsidR="00C05DE2">
              <w:rPr>
                <w:noProof/>
                <w:webHidden/>
              </w:rPr>
              <w:fldChar w:fldCharType="begin"/>
            </w:r>
            <w:r w:rsidR="00C05DE2">
              <w:rPr>
                <w:noProof/>
                <w:webHidden/>
              </w:rPr>
              <w:instrText xml:space="preserve"> PAGEREF _Toc88818187 \h </w:instrText>
            </w:r>
            <w:r w:rsidR="00C05DE2">
              <w:rPr>
                <w:noProof/>
                <w:webHidden/>
              </w:rPr>
            </w:r>
            <w:r w:rsidR="00C05DE2">
              <w:rPr>
                <w:noProof/>
                <w:webHidden/>
              </w:rPr>
              <w:fldChar w:fldCharType="separate"/>
            </w:r>
            <w:r w:rsidR="005C7BB6">
              <w:rPr>
                <w:noProof/>
                <w:webHidden/>
              </w:rPr>
              <w:t>3</w:t>
            </w:r>
            <w:r w:rsidR="00C05DE2">
              <w:rPr>
                <w:noProof/>
                <w:webHidden/>
              </w:rPr>
              <w:fldChar w:fldCharType="end"/>
            </w:r>
          </w:hyperlink>
        </w:p>
        <w:p w14:paraId="5E84D418" w14:textId="7E8BC060" w:rsidR="00C05DE2" w:rsidRDefault="00C120CA">
          <w:pPr>
            <w:pStyle w:val="TOC1"/>
            <w:tabs>
              <w:tab w:val="right" w:leader="dot" w:pos="9016"/>
            </w:tabs>
            <w:rPr>
              <w:rFonts w:eastAsiaTheme="minorEastAsia"/>
              <w:noProof/>
              <w:lang w:val="en-AU" w:eastAsia="en-AU"/>
            </w:rPr>
          </w:pPr>
          <w:hyperlink w:anchor="_Toc88818188" w:history="1">
            <w:r w:rsidR="00C05DE2" w:rsidRPr="00AE78AE">
              <w:rPr>
                <w:rStyle w:val="Hyperlink"/>
                <w:noProof/>
              </w:rPr>
              <w:t>Review of the plan</w:t>
            </w:r>
            <w:r w:rsidR="00C05DE2">
              <w:rPr>
                <w:noProof/>
                <w:webHidden/>
              </w:rPr>
              <w:tab/>
            </w:r>
            <w:r w:rsidR="00C05DE2">
              <w:rPr>
                <w:noProof/>
                <w:webHidden/>
              </w:rPr>
              <w:fldChar w:fldCharType="begin"/>
            </w:r>
            <w:r w:rsidR="00C05DE2">
              <w:rPr>
                <w:noProof/>
                <w:webHidden/>
              </w:rPr>
              <w:instrText xml:space="preserve"> PAGEREF _Toc88818188 \h </w:instrText>
            </w:r>
            <w:r w:rsidR="00C05DE2">
              <w:rPr>
                <w:noProof/>
                <w:webHidden/>
              </w:rPr>
            </w:r>
            <w:r w:rsidR="00C05DE2">
              <w:rPr>
                <w:noProof/>
                <w:webHidden/>
              </w:rPr>
              <w:fldChar w:fldCharType="separate"/>
            </w:r>
            <w:r w:rsidR="005C7BB6">
              <w:rPr>
                <w:noProof/>
                <w:webHidden/>
              </w:rPr>
              <w:t>4</w:t>
            </w:r>
            <w:r w:rsidR="00C05DE2">
              <w:rPr>
                <w:noProof/>
                <w:webHidden/>
              </w:rPr>
              <w:fldChar w:fldCharType="end"/>
            </w:r>
          </w:hyperlink>
        </w:p>
        <w:p w14:paraId="28C97C8E" w14:textId="49D8CE7F" w:rsidR="00C05DE2" w:rsidRDefault="00C120CA">
          <w:pPr>
            <w:pStyle w:val="TOC1"/>
            <w:tabs>
              <w:tab w:val="right" w:leader="dot" w:pos="9016"/>
            </w:tabs>
            <w:rPr>
              <w:rFonts w:eastAsiaTheme="minorEastAsia"/>
              <w:noProof/>
              <w:lang w:val="en-AU" w:eastAsia="en-AU"/>
            </w:rPr>
          </w:pPr>
          <w:hyperlink w:anchor="_Toc88818189" w:history="1">
            <w:r w:rsidR="00C05DE2" w:rsidRPr="00AE78AE">
              <w:rPr>
                <w:rStyle w:val="Hyperlink"/>
                <w:noProof/>
              </w:rPr>
              <w:t>Reporting of the Plan</w:t>
            </w:r>
            <w:r w:rsidR="00C05DE2">
              <w:rPr>
                <w:noProof/>
                <w:webHidden/>
              </w:rPr>
              <w:tab/>
            </w:r>
            <w:r w:rsidR="00C05DE2">
              <w:rPr>
                <w:noProof/>
                <w:webHidden/>
              </w:rPr>
              <w:fldChar w:fldCharType="begin"/>
            </w:r>
            <w:r w:rsidR="00C05DE2">
              <w:rPr>
                <w:noProof/>
                <w:webHidden/>
              </w:rPr>
              <w:instrText xml:space="preserve"> PAGEREF _Toc88818189 \h </w:instrText>
            </w:r>
            <w:r w:rsidR="00C05DE2">
              <w:rPr>
                <w:noProof/>
                <w:webHidden/>
              </w:rPr>
            </w:r>
            <w:r w:rsidR="00C05DE2">
              <w:rPr>
                <w:noProof/>
                <w:webHidden/>
              </w:rPr>
              <w:fldChar w:fldCharType="separate"/>
            </w:r>
            <w:r w:rsidR="005C7BB6">
              <w:rPr>
                <w:noProof/>
                <w:webHidden/>
              </w:rPr>
              <w:t>4</w:t>
            </w:r>
            <w:r w:rsidR="00C05DE2">
              <w:rPr>
                <w:noProof/>
                <w:webHidden/>
              </w:rPr>
              <w:fldChar w:fldCharType="end"/>
            </w:r>
          </w:hyperlink>
        </w:p>
        <w:p w14:paraId="54BC1346" w14:textId="6FF5528C" w:rsidR="00C05DE2" w:rsidRDefault="00C120CA">
          <w:pPr>
            <w:pStyle w:val="TOC1"/>
            <w:tabs>
              <w:tab w:val="right" w:leader="dot" w:pos="9016"/>
            </w:tabs>
            <w:rPr>
              <w:rFonts w:eastAsiaTheme="minorEastAsia"/>
              <w:noProof/>
              <w:lang w:val="en-AU" w:eastAsia="en-AU"/>
            </w:rPr>
          </w:pPr>
          <w:hyperlink w:anchor="_Toc88818190" w:history="1">
            <w:r w:rsidR="00C05DE2" w:rsidRPr="00AE78AE">
              <w:rPr>
                <w:rStyle w:val="Hyperlink"/>
                <w:noProof/>
              </w:rPr>
              <w:t>Sector Snapshot: key challenges; relevant data; timeframes</w:t>
            </w:r>
            <w:r w:rsidR="00C05DE2">
              <w:rPr>
                <w:noProof/>
                <w:webHidden/>
              </w:rPr>
              <w:tab/>
            </w:r>
            <w:r w:rsidR="00C05DE2">
              <w:rPr>
                <w:noProof/>
                <w:webHidden/>
              </w:rPr>
              <w:fldChar w:fldCharType="begin"/>
            </w:r>
            <w:r w:rsidR="00C05DE2">
              <w:rPr>
                <w:noProof/>
                <w:webHidden/>
              </w:rPr>
              <w:instrText xml:space="preserve"> PAGEREF _Toc88818190 \h </w:instrText>
            </w:r>
            <w:r w:rsidR="00C05DE2">
              <w:rPr>
                <w:noProof/>
                <w:webHidden/>
              </w:rPr>
            </w:r>
            <w:r w:rsidR="00C05DE2">
              <w:rPr>
                <w:noProof/>
                <w:webHidden/>
              </w:rPr>
              <w:fldChar w:fldCharType="separate"/>
            </w:r>
            <w:r w:rsidR="005C7BB6">
              <w:rPr>
                <w:noProof/>
                <w:webHidden/>
              </w:rPr>
              <w:t>4</w:t>
            </w:r>
            <w:r w:rsidR="00C05DE2">
              <w:rPr>
                <w:noProof/>
                <w:webHidden/>
              </w:rPr>
              <w:fldChar w:fldCharType="end"/>
            </w:r>
          </w:hyperlink>
        </w:p>
        <w:p w14:paraId="4E3C4D67" w14:textId="34552E0C" w:rsidR="00C05DE2" w:rsidRDefault="00C120CA">
          <w:pPr>
            <w:pStyle w:val="TOC1"/>
            <w:tabs>
              <w:tab w:val="right" w:leader="dot" w:pos="9016"/>
            </w:tabs>
            <w:rPr>
              <w:rFonts w:eastAsiaTheme="minorEastAsia"/>
              <w:noProof/>
              <w:lang w:val="en-AU" w:eastAsia="en-AU"/>
            </w:rPr>
          </w:pPr>
          <w:hyperlink w:anchor="_Toc88818191" w:history="1">
            <w:r w:rsidR="00C05DE2" w:rsidRPr="00AE78AE">
              <w:rPr>
                <w:rStyle w:val="Hyperlink"/>
                <w:noProof/>
              </w:rPr>
              <w:t>Key Areas for Action</w:t>
            </w:r>
            <w:r w:rsidR="00C05DE2">
              <w:rPr>
                <w:noProof/>
                <w:webHidden/>
              </w:rPr>
              <w:tab/>
            </w:r>
            <w:r w:rsidR="00C05DE2">
              <w:rPr>
                <w:noProof/>
                <w:webHidden/>
              </w:rPr>
              <w:fldChar w:fldCharType="begin"/>
            </w:r>
            <w:r w:rsidR="00C05DE2">
              <w:rPr>
                <w:noProof/>
                <w:webHidden/>
              </w:rPr>
              <w:instrText xml:space="preserve"> PAGEREF _Toc88818191 \h </w:instrText>
            </w:r>
            <w:r w:rsidR="00C05DE2">
              <w:rPr>
                <w:noProof/>
                <w:webHidden/>
              </w:rPr>
            </w:r>
            <w:r w:rsidR="00C05DE2">
              <w:rPr>
                <w:noProof/>
                <w:webHidden/>
              </w:rPr>
              <w:fldChar w:fldCharType="separate"/>
            </w:r>
            <w:r w:rsidR="005C7BB6">
              <w:rPr>
                <w:noProof/>
                <w:webHidden/>
              </w:rPr>
              <w:t>9</w:t>
            </w:r>
            <w:r w:rsidR="00C05DE2">
              <w:rPr>
                <w:noProof/>
                <w:webHidden/>
              </w:rPr>
              <w:fldChar w:fldCharType="end"/>
            </w:r>
          </w:hyperlink>
        </w:p>
        <w:p w14:paraId="7A72549C" w14:textId="65A01C31" w:rsidR="00C05DE2" w:rsidRDefault="00C120CA">
          <w:pPr>
            <w:pStyle w:val="TOC3"/>
            <w:tabs>
              <w:tab w:val="right" w:leader="dot" w:pos="9016"/>
            </w:tabs>
            <w:rPr>
              <w:rFonts w:eastAsiaTheme="minorEastAsia"/>
              <w:noProof/>
              <w:lang w:val="en-AU" w:eastAsia="en-AU"/>
            </w:rPr>
          </w:pPr>
          <w:hyperlink w:anchor="_Toc88818192" w:history="1">
            <w:r w:rsidR="00C05DE2" w:rsidRPr="00AE78AE">
              <w:rPr>
                <w:rStyle w:val="Hyperlink"/>
                <w:b/>
                <w:noProof/>
              </w:rPr>
              <w:t>A. Consistent funding model</w:t>
            </w:r>
            <w:r w:rsidR="00C05DE2">
              <w:rPr>
                <w:noProof/>
                <w:webHidden/>
              </w:rPr>
              <w:tab/>
            </w:r>
            <w:r w:rsidR="00C05DE2">
              <w:rPr>
                <w:noProof/>
                <w:webHidden/>
              </w:rPr>
              <w:fldChar w:fldCharType="begin"/>
            </w:r>
            <w:r w:rsidR="00C05DE2">
              <w:rPr>
                <w:noProof/>
                <w:webHidden/>
              </w:rPr>
              <w:instrText xml:space="preserve"> PAGEREF _Toc88818192 \h </w:instrText>
            </w:r>
            <w:r w:rsidR="00C05DE2">
              <w:rPr>
                <w:noProof/>
                <w:webHidden/>
              </w:rPr>
            </w:r>
            <w:r w:rsidR="00C05DE2">
              <w:rPr>
                <w:noProof/>
                <w:webHidden/>
              </w:rPr>
              <w:fldChar w:fldCharType="separate"/>
            </w:r>
            <w:r w:rsidR="005C7BB6">
              <w:rPr>
                <w:noProof/>
                <w:webHidden/>
              </w:rPr>
              <w:t>9</w:t>
            </w:r>
            <w:r w:rsidR="00C05DE2">
              <w:rPr>
                <w:noProof/>
                <w:webHidden/>
              </w:rPr>
              <w:fldChar w:fldCharType="end"/>
            </w:r>
          </w:hyperlink>
        </w:p>
        <w:p w14:paraId="0F24EFF8" w14:textId="5778E7D7" w:rsidR="00C05DE2" w:rsidRDefault="00C120CA">
          <w:pPr>
            <w:pStyle w:val="TOC3"/>
            <w:tabs>
              <w:tab w:val="right" w:leader="dot" w:pos="9016"/>
            </w:tabs>
            <w:rPr>
              <w:rFonts w:eastAsiaTheme="minorEastAsia"/>
              <w:noProof/>
              <w:lang w:val="en-AU" w:eastAsia="en-AU"/>
            </w:rPr>
          </w:pPr>
          <w:hyperlink w:anchor="_Toc88818193" w:history="1">
            <w:r w:rsidR="00C05DE2" w:rsidRPr="00AE78AE">
              <w:rPr>
                <w:rStyle w:val="Hyperlink"/>
                <w:b/>
                <w:noProof/>
              </w:rPr>
              <w:t>B. Workforce</w:t>
            </w:r>
            <w:r w:rsidR="00C05DE2">
              <w:rPr>
                <w:noProof/>
                <w:webHidden/>
              </w:rPr>
              <w:tab/>
            </w:r>
            <w:r w:rsidR="00C05DE2">
              <w:rPr>
                <w:noProof/>
                <w:webHidden/>
              </w:rPr>
              <w:fldChar w:fldCharType="begin"/>
            </w:r>
            <w:r w:rsidR="00C05DE2">
              <w:rPr>
                <w:noProof/>
                <w:webHidden/>
              </w:rPr>
              <w:instrText xml:space="preserve"> PAGEREF _Toc88818193 \h </w:instrText>
            </w:r>
            <w:r w:rsidR="00C05DE2">
              <w:rPr>
                <w:noProof/>
                <w:webHidden/>
              </w:rPr>
            </w:r>
            <w:r w:rsidR="00C05DE2">
              <w:rPr>
                <w:noProof/>
                <w:webHidden/>
              </w:rPr>
              <w:fldChar w:fldCharType="separate"/>
            </w:r>
            <w:r w:rsidR="005C7BB6">
              <w:rPr>
                <w:noProof/>
                <w:webHidden/>
              </w:rPr>
              <w:t>9</w:t>
            </w:r>
            <w:r w:rsidR="00C05DE2">
              <w:rPr>
                <w:noProof/>
                <w:webHidden/>
              </w:rPr>
              <w:fldChar w:fldCharType="end"/>
            </w:r>
          </w:hyperlink>
        </w:p>
        <w:p w14:paraId="1716A3FC" w14:textId="750A3C06" w:rsidR="00C05DE2" w:rsidRDefault="00C120CA">
          <w:pPr>
            <w:pStyle w:val="TOC3"/>
            <w:tabs>
              <w:tab w:val="right" w:leader="dot" w:pos="9016"/>
            </w:tabs>
            <w:rPr>
              <w:rFonts w:eastAsiaTheme="minorEastAsia"/>
              <w:noProof/>
              <w:lang w:val="en-AU" w:eastAsia="en-AU"/>
            </w:rPr>
          </w:pPr>
          <w:hyperlink w:anchor="_Toc88818194" w:history="1">
            <w:r w:rsidR="00C05DE2" w:rsidRPr="00AE78AE">
              <w:rPr>
                <w:rStyle w:val="Hyperlink"/>
                <w:b/>
                <w:noProof/>
              </w:rPr>
              <w:t>C. Infrastructure</w:t>
            </w:r>
            <w:r w:rsidR="00C05DE2">
              <w:rPr>
                <w:noProof/>
                <w:webHidden/>
              </w:rPr>
              <w:tab/>
            </w:r>
            <w:r w:rsidR="00C05DE2">
              <w:rPr>
                <w:noProof/>
                <w:webHidden/>
              </w:rPr>
              <w:fldChar w:fldCharType="begin"/>
            </w:r>
            <w:r w:rsidR="00C05DE2">
              <w:rPr>
                <w:noProof/>
                <w:webHidden/>
              </w:rPr>
              <w:instrText xml:space="preserve"> PAGEREF _Toc88818194 \h </w:instrText>
            </w:r>
            <w:r w:rsidR="00C05DE2">
              <w:rPr>
                <w:noProof/>
                <w:webHidden/>
              </w:rPr>
            </w:r>
            <w:r w:rsidR="00C05DE2">
              <w:rPr>
                <w:noProof/>
                <w:webHidden/>
              </w:rPr>
              <w:fldChar w:fldCharType="separate"/>
            </w:r>
            <w:r w:rsidR="005C7BB6">
              <w:rPr>
                <w:noProof/>
                <w:webHidden/>
              </w:rPr>
              <w:t>11</w:t>
            </w:r>
            <w:r w:rsidR="00C05DE2">
              <w:rPr>
                <w:noProof/>
                <w:webHidden/>
              </w:rPr>
              <w:fldChar w:fldCharType="end"/>
            </w:r>
          </w:hyperlink>
        </w:p>
        <w:p w14:paraId="5A9DB870" w14:textId="3300B50C" w:rsidR="00C05DE2" w:rsidRDefault="00C120CA">
          <w:pPr>
            <w:pStyle w:val="TOC3"/>
            <w:tabs>
              <w:tab w:val="right" w:leader="dot" w:pos="9016"/>
            </w:tabs>
            <w:rPr>
              <w:rFonts w:eastAsiaTheme="minorEastAsia"/>
              <w:noProof/>
              <w:lang w:val="en-AU" w:eastAsia="en-AU"/>
            </w:rPr>
          </w:pPr>
          <w:hyperlink w:anchor="_Toc88818195" w:history="1">
            <w:r w:rsidR="00C05DE2" w:rsidRPr="00AE78AE">
              <w:rPr>
                <w:rStyle w:val="Hyperlink"/>
                <w:b/>
                <w:noProof/>
              </w:rPr>
              <w:t>D. Service delivery</w:t>
            </w:r>
            <w:r w:rsidR="00C05DE2">
              <w:rPr>
                <w:noProof/>
                <w:webHidden/>
              </w:rPr>
              <w:tab/>
            </w:r>
            <w:r w:rsidR="00C05DE2">
              <w:rPr>
                <w:noProof/>
                <w:webHidden/>
              </w:rPr>
              <w:fldChar w:fldCharType="begin"/>
            </w:r>
            <w:r w:rsidR="00C05DE2">
              <w:rPr>
                <w:noProof/>
                <w:webHidden/>
              </w:rPr>
              <w:instrText xml:space="preserve"> PAGEREF _Toc88818195 \h </w:instrText>
            </w:r>
            <w:r w:rsidR="00C05DE2">
              <w:rPr>
                <w:noProof/>
                <w:webHidden/>
              </w:rPr>
            </w:r>
            <w:r w:rsidR="00C05DE2">
              <w:rPr>
                <w:noProof/>
                <w:webHidden/>
              </w:rPr>
              <w:fldChar w:fldCharType="separate"/>
            </w:r>
            <w:r w:rsidR="005C7BB6">
              <w:rPr>
                <w:noProof/>
                <w:webHidden/>
              </w:rPr>
              <w:t>11</w:t>
            </w:r>
            <w:r w:rsidR="00C05DE2">
              <w:rPr>
                <w:noProof/>
                <w:webHidden/>
              </w:rPr>
              <w:fldChar w:fldCharType="end"/>
            </w:r>
          </w:hyperlink>
        </w:p>
        <w:p w14:paraId="6FB97BDF" w14:textId="366B1606" w:rsidR="00C05DE2" w:rsidRDefault="00C120CA">
          <w:pPr>
            <w:pStyle w:val="TOC3"/>
            <w:tabs>
              <w:tab w:val="right" w:leader="dot" w:pos="9016"/>
            </w:tabs>
            <w:rPr>
              <w:rFonts w:eastAsiaTheme="minorEastAsia"/>
              <w:noProof/>
              <w:lang w:val="en-AU" w:eastAsia="en-AU"/>
            </w:rPr>
          </w:pPr>
          <w:hyperlink w:anchor="_Toc88818196" w:history="1">
            <w:r w:rsidR="00C05DE2" w:rsidRPr="00AE78AE">
              <w:rPr>
                <w:rStyle w:val="Hyperlink"/>
                <w:b/>
                <w:noProof/>
              </w:rPr>
              <w:t>E. Governance</w:t>
            </w:r>
            <w:r w:rsidR="00C05DE2">
              <w:rPr>
                <w:noProof/>
                <w:webHidden/>
              </w:rPr>
              <w:tab/>
            </w:r>
            <w:r w:rsidR="00C05DE2">
              <w:rPr>
                <w:noProof/>
                <w:webHidden/>
              </w:rPr>
              <w:fldChar w:fldCharType="begin"/>
            </w:r>
            <w:r w:rsidR="00C05DE2">
              <w:rPr>
                <w:noProof/>
                <w:webHidden/>
              </w:rPr>
              <w:instrText xml:space="preserve"> PAGEREF _Toc88818196 \h </w:instrText>
            </w:r>
            <w:r w:rsidR="00C05DE2">
              <w:rPr>
                <w:noProof/>
                <w:webHidden/>
              </w:rPr>
            </w:r>
            <w:r w:rsidR="00C05DE2">
              <w:rPr>
                <w:noProof/>
                <w:webHidden/>
              </w:rPr>
              <w:fldChar w:fldCharType="separate"/>
            </w:r>
            <w:r w:rsidR="005C7BB6">
              <w:rPr>
                <w:noProof/>
                <w:webHidden/>
              </w:rPr>
              <w:t>12</w:t>
            </w:r>
            <w:r w:rsidR="00C05DE2">
              <w:rPr>
                <w:noProof/>
                <w:webHidden/>
              </w:rPr>
              <w:fldChar w:fldCharType="end"/>
            </w:r>
          </w:hyperlink>
        </w:p>
        <w:p w14:paraId="39D21C63" w14:textId="28BFA6F4" w:rsidR="00C05DE2" w:rsidRDefault="00C120CA">
          <w:pPr>
            <w:pStyle w:val="TOC3"/>
            <w:tabs>
              <w:tab w:val="right" w:leader="dot" w:pos="9016"/>
            </w:tabs>
            <w:rPr>
              <w:rFonts w:eastAsiaTheme="minorEastAsia"/>
              <w:noProof/>
              <w:lang w:val="en-AU" w:eastAsia="en-AU"/>
            </w:rPr>
          </w:pPr>
          <w:hyperlink w:anchor="_Toc88818197" w:history="1">
            <w:r w:rsidR="00C05DE2" w:rsidRPr="00AE78AE">
              <w:rPr>
                <w:rStyle w:val="Hyperlink"/>
                <w:b/>
                <w:noProof/>
              </w:rPr>
              <w:t>F. Peak body</w:t>
            </w:r>
            <w:r w:rsidR="00C05DE2">
              <w:rPr>
                <w:noProof/>
                <w:webHidden/>
              </w:rPr>
              <w:tab/>
            </w:r>
            <w:r w:rsidR="00C05DE2">
              <w:rPr>
                <w:noProof/>
                <w:webHidden/>
              </w:rPr>
              <w:fldChar w:fldCharType="begin"/>
            </w:r>
            <w:r w:rsidR="00C05DE2">
              <w:rPr>
                <w:noProof/>
                <w:webHidden/>
              </w:rPr>
              <w:instrText xml:space="preserve"> PAGEREF _Toc88818197 \h </w:instrText>
            </w:r>
            <w:r w:rsidR="00C05DE2">
              <w:rPr>
                <w:noProof/>
                <w:webHidden/>
              </w:rPr>
            </w:r>
            <w:r w:rsidR="00C05DE2">
              <w:rPr>
                <w:noProof/>
                <w:webHidden/>
              </w:rPr>
              <w:fldChar w:fldCharType="separate"/>
            </w:r>
            <w:r w:rsidR="005C7BB6">
              <w:rPr>
                <w:noProof/>
                <w:webHidden/>
              </w:rPr>
              <w:t>12</w:t>
            </w:r>
            <w:r w:rsidR="00C05DE2">
              <w:rPr>
                <w:noProof/>
                <w:webHidden/>
              </w:rPr>
              <w:fldChar w:fldCharType="end"/>
            </w:r>
          </w:hyperlink>
        </w:p>
        <w:p w14:paraId="4C97DDE7" w14:textId="2474DF49" w:rsidR="00C05DE2" w:rsidRDefault="00C120CA">
          <w:pPr>
            <w:pStyle w:val="TOC1"/>
            <w:tabs>
              <w:tab w:val="right" w:leader="dot" w:pos="9016"/>
            </w:tabs>
            <w:rPr>
              <w:rFonts w:eastAsiaTheme="minorEastAsia"/>
              <w:noProof/>
              <w:lang w:val="en-AU" w:eastAsia="en-AU"/>
            </w:rPr>
          </w:pPr>
          <w:hyperlink w:anchor="_Toc88818198" w:history="1">
            <w:r w:rsidR="00C05DE2" w:rsidRPr="00AE78AE">
              <w:rPr>
                <w:rStyle w:val="Hyperlink"/>
                <w:noProof/>
              </w:rPr>
              <w:t>Beyond the health sector</w:t>
            </w:r>
            <w:r w:rsidR="00C05DE2">
              <w:rPr>
                <w:noProof/>
                <w:webHidden/>
              </w:rPr>
              <w:tab/>
            </w:r>
            <w:r w:rsidR="00C05DE2">
              <w:rPr>
                <w:noProof/>
                <w:webHidden/>
              </w:rPr>
              <w:fldChar w:fldCharType="begin"/>
            </w:r>
            <w:r w:rsidR="00C05DE2">
              <w:rPr>
                <w:noProof/>
                <w:webHidden/>
              </w:rPr>
              <w:instrText xml:space="preserve"> PAGEREF _Toc88818198 \h </w:instrText>
            </w:r>
            <w:r w:rsidR="00C05DE2">
              <w:rPr>
                <w:noProof/>
                <w:webHidden/>
              </w:rPr>
            </w:r>
            <w:r w:rsidR="00C05DE2">
              <w:rPr>
                <w:noProof/>
                <w:webHidden/>
              </w:rPr>
              <w:fldChar w:fldCharType="separate"/>
            </w:r>
            <w:r w:rsidR="005C7BB6">
              <w:rPr>
                <w:noProof/>
                <w:webHidden/>
              </w:rPr>
              <w:t>12</w:t>
            </w:r>
            <w:r w:rsidR="00C05DE2">
              <w:rPr>
                <w:noProof/>
                <w:webHidden/>
              </w:rPr>
              <w:fldChar w:fldCharType="end"/>
            </w:r>
          </w:hyperlink>
        </w:p>
        <w:p w14:paraId="7928BBE2" w14:textId="403BA0F8" w:rsidR="00C05DE2" w:rsidRDefault="00C120CA">
          <w:pPr>
            <w:pStyle w:val="TOC1"/>
            <w:tabs>
              <w:tab w:val="right" w:leader="dot" w:pos="9016"/>
            </w:tabs>
            <w:rPr>
              <w:rFonts w:eastAsiaTheme="minorEastAsia"/>
              <w:noProof/>
              <w:lang w:val="en-AU" w:eastAsia="en-AU"/>
            </w:rPr>
          </w:pPr>
          <w:hyperlink w:anchor="_Toc88818199" w:history="1">
            <w:r w:rsidR="00C05DE2" w:rsidRPr="00AE78AE">
              <w:rPr>
                <w:rStyle w:val="Hyperlink"/>
                <w:noProof/>
              </w:rPr>
              <w:t>Objectives of the Sector Strengthening Plan</w:t>
            </w:r>
            <w:r w:rsidR="00C05DE2">
              <w:rPr>
                <w:noProof/>
                <w:webHidden/>
              </w:rPr>
              <w:tab/>
            </w:r>
            <w:r w:rsidR="00C05DE2">
              <w:rPr>
                <w:noProof/>
                <w:webHidden/>
              </w:rPr>
              <w:fldChar w:fldCharType="begin"/>
            </w:r>
            <w:r w:rsidR="00C05DE2">
              <w:rPr>
                <w:noProof/>
                <w:webHidden/>
              </w:rPr>
              <w:instrText xml:space="preserve"> PAGEREF _Toc88818199 \h </w:instrText>
            </w:r>
            <w:r w:rsidR="00C05DE2">
              <w:rPr>
                <w:noProof/>
                <w:webHidden/>
              </w:rPr>
            </w:r>
            <w:r w:rsidR="00C05DE2">
              <w:rPr>
                <w:noProof/>
                <w:webHidden/>
              </w:rPr>
              <w:fldChar w:fldCharType="separate"/>
            </w:r>
            <w:r w:rsidR="005C7BB6">
              <w:rPr>
                <w:noProof/>
                <w:webHidden/>
              </w:rPr>
              <w:t>13</w:t>
            </w:r>
            <w:r w:rsidR="00C05DE2">
              <w:rPr>
                <w:noProof/>
                <w:webHidden/>
              </w:rPr>
              <w:fldChar w:fldCharType="end"/>
            </w:r>
          </w:hyperlink>
        </w:p>
        <w:p w14:paraId="2ABCCC8E" w14:textId="3E42680A" w:rsidR="00C05DE2" w:rsidRDefault="00C120CA">
          <w:pPr>
            <w:pStyle w:val="TOC1"/>
            <w:tabs>
              <w:tab w:val="right" w:leader="dot" w:pos="9016"/>
            </w:tabs>
            <w:rPr>
              <w:rFonts w:eastAsiaTheme="minorEastAsia"/>
              <w:noProof/>
              <w:lang w:val="en-AU" w:eastAsia="en-AU"/>
            </w:rPr>
          </w:pPr>
          <w:hyperlink w:anchor="_Toc88818200" w:history="1">
            <w:r w:rsidR="00C05DE2" w:rsidRPr="00AE78AE">
              <w:rPr>
                <w:rStyle w:val="Hyperlink"/>
                <w:noProof/>
              </w:rPr>
              <w:t>Action Table</w:t>
            </w:r>
            <w:r w:rsidR="00C05DE2">
              <w:rPr>
                <w:noProof/>
                <w:webHidden/>
              </w:rPr>
              <w:tab/>
            </w:r>
            <w:r w:rsidR="00C05DE2">
              <w:rPr>
                <w:noProof/>
                <w:webHidden/>
              </w:rPr>
              <w:fldChar w:fldCharType="begin"/>
            </w:r>
            <w:r w:rsidR="00C05DE2">
              <w:rPr>
                <w:noProof/>
                <w:webHidden/>
              </w:rPr>
              <w:instrText xml:space="preserve"> PAGEREF _Toc88818200 \h </w:instrText>
            </w:r>
            <w:r w:rsidR="00C05DE2">
              <w:rPr>
                <w:noProof/>
                <w:webHidden/>
              </w:rPr>
            </w:r>
            <w:r w:rsidR="00C05DE2">
              <w:rPr>
                <w:noProof/>
                <w:webHidden/>
              </w:rPr>
              <w:fldChar w:fldCharType="separate"/>
            </w:r>
            <w:r w:rsidR="005C7BB6">
              <w:rPr>
                <w:noProof/>
                <w:webHidden/>
              </w:rPr>
              <w:t>15</w:t>
            </w:r>
            <w:r w:rsidR="00C05DE2">
              <w:rPr>
                <w:noProof/>
                <w:webHidden/>
              </w:rPr>
              <w:fldChar w:fldCharType="end"/>
            </w:r>
          </w:hyperlink>
        </w:p>
        <w:p w14:paraId="504015BA" w14:textId="0E82F2A5" w:rsidR="00C05DE2" w:rsidRDefault="00C120CA">
          <w:pPr>
            <w:pStyle w:val="TOC1"/>
            <w:tabs>
              <w:tab w:val="right" w:leader="dot" w:pos="9016"/>
            </w:tabs>
            <w:rPr>
              <w:rFonts w:eastAsiaTheme="minorEastAsia"/>
              <w:noProof/>
              <w:lang w:val="en-AU" w:eastAsia="en-AU"/>
            </w:rPr>
          </w:pPr>
          <w:hyperlink w:anchor="_Toc88818207" w:history="1">
            <w:r w:rsidR="00C05DE2" w:rsidRPr="00AE78AE">
              <w:rPr>
                <w:rStyle w:val="Hyperlink"/>
                <w:noProof/>
              </w:rPr>
              <w:t>ADDENDUM – Engagements</w:t>
            </w:r>
            <w:r w:rsidR="00C05DE2">
              <w:rPr>
                <w:noProof/>
                <w:webHidden/>
              </w:rPr>
              <w:tab/>
            </w:r>
            <w:r w:rsidR="00C05DE2">
              <w:rPr>
                <w:noProof/>
                <w:webHidden/>
              </w:rPr>
              <w:fldChar w:fldCharType="begin"/>
            </w:r>
            <w:r w:rsidR="00C05DE2">
              <w:rPr>
                <w:noProof/>
                <w:webHidden/>
              </w:rPr>
              <w:instrText xml:space="preserve"> PAGEREF _Toc88818207 \h </w:instrText>
            </w:r>
            <w:r w:rsidR="00C05DE2">
              <w:rPr>
                <w:noProof/>
                <w:webHidden/>
              </w:rPr>
            </w:r>
            <w:r w:rsidR="00C05DE2">
              <w:rPr>
                <w:noProof/>
                <w:webHidden/>
              </w:rPr>
              <w:fldChar w:fldCharType="separate"/>
            </w:r>
            <w:r w:rsidR="005C7BB6">
              <w:rPr>
                <w:noProof/>
                <w:webHidden/>
              </w:rPr>
              <w:t>29</w:t>
            </w:r>
            <w:r w:rsidR="00C05DE2">
              <w:rPr>
                <w:noProof/>
                <w:webHidden/>
              </w:rPr>
              <w:fldChar w:fldCharType="end"/>
            </w:r>
          </w:hyperlink>
        </w:p>
        <w:p w14:paraId="458E656C" w14:textId="26BF05A3" w:rsidR="00C05DE2" w:rsidRDefault="00C120CA">
          <w:pPr>
            <w:pStyle w:val="TOC1"/>
            <w:tabs>
              <w:tab w:val="right" w:leader="dot" w:pos="9016"/>
            </w:tabs>
            <w:rPr>
              <w:rFonts w:eastAsiaTheme="minorEastAsia"/>
              <w:noProof/>
              <w:lang w:val="en-AU" w:eastAsia="en-AU"/>
            </w:rPr>
          </w:pPr>
          <w:hyperlink w:anchor="_Toc88818208" w:history="1">
            <w:r w:rsidR="00C05DE2" w:rsidRPr="00AE78AE">
              <w:rPr>
                <w:rStyle w:val="Hyperlink"/>
                <w:noProof/>
              </w:rPr>
              <w:t>ADDENDUM – Employment</w:t>
            </w:r>
            <w:r w:rsidR="00C05DE2">
              <w:rPr>
                <w:noProof/>
                <w:webHidden/>
              </w:rPr>
              <w:tab/>
            </w:r>
            <w:r w:rsidR="00C05DE2">
              <w:rPr>
                <w:noProof/>
                <w:webHidden/>
              </w:rPr>
              <w:fldChar w:fldCharType="begin"/>
            </w:r>
            <w:r w:rsidR="00C05DE2">
              <w:rPr>
                <w:noProof/>
                <w:webHidden/>
              </w:rPr>
              <w:instrText xml:space="preserve"> PAGEREF _Toc88818208 \h </w:instrText>
            </w:r>
            <w:r w:rsidR="00C05DE2">
              <w:rPr>
                <w:noProof/>
                <w:webHidden/>
              </w:rPr>
            </w:r>
            <w:r w:rsidR="00C05DE2">
              <w:rPr>
                <w:noProof/>
                <w:webHidden/>
              </w:rPr>
              <w:fldChar w:fldCharType="separate"/>
            </w:r>
            <w:r w:rsidR="005C7BB6">
              <w:rPr>
                <w:noProof/>
                <w:webHidden/>
              </w:rPr>
              <w:t>30</w:t>
            </w:r>
            <w:r w:rsidR="00C05DE2">
              <w:rPr>
                <w:noProof/>
                <w:webHidden/>
              </w:rPr>
              <w:fldChar w:fldCharType="end"/>
            </w:r>
          </w:hyperlink>
        </w:p>
        <w:p w14:paraId="02D5CCCF" w14:textId="2C8511A2" w:rsidR="00C05DE2" w:rsidRDefault="00C120CA">
          <w:pPr>
            <w:pStyle w:val="TOC1"/>
            <w:tabs>
              <w:tab w:val="right" w:leader="dot" w:pos="9016"/>
            </w:tabs>
            <w:rPr>
              <w:rFonts w:eastAsiaTheme="minorEastAsia"/>
              <w:noProof/>
              <w:lang w:val="en-AU" w:eastAsia="en-AU"/>
            </w:rPr>
          </w:pPr>
          <w:hyperlink w:anchor="_Toc88818209" w:history="1">
            <w:r w:rsidR="00C05DE2" w:rsidRPr="00AE78AE">
              <w:rPr>
                <w:rStyle w:val="Hyperlink"/>
                <w:noProof/>
              </w:rPr>
              <w:t>REFERENCES</w:t>
            </w:r>
            <w:r w:rsidR="00C05DE2">
              <w:rPr>
                <w:noProof/>
                <w:webHidden/>
              </w:rPr>
              <w:tab/>
            </w:r>
            <w:r w:rsidR="00C05DE2">
              <w:rPr>
                <w:noProof/>
                <w:webHidden/>
              </w:rPr>
              <w:fldChar w:fldCharType="begin"/>
            </w:r>
            <w:r w:rsidR="00C05DE2">
              <w:rPr>
                <w:noProof/>
                <w:webHidden/>
              </w:rPr>
              <w:instrText xml:space="preserve"> PAGEREF _Toc88818209 \h </w:instrText>
            </w:r>
            <w:r w:rsidR="00C05DE2">
              <w:rPr>
                <w:noProof/>
                <w:webHidden/>
              </w:rPr>
            </w:r>
            <w:r w:rsidR="00C05DE2">
              <w:rPr>
                <w:noProof/>
                <w:webHidden/>
              </w:rPr>
              <w:fldChar w:fldCharType="separate"/>
            </w:r>
            <w:r w:rsidR="005C7BB6">
              <w:rPr>
                <w:noProof/>
                <w:webHidden/>
              </w:rPr>
              <w:t>31</w:t>
            </w:r>
            <w:r w:rsidR="00C05DE2">
              <w:rPr>
                <w:noProof/>
                <w:webHidden/>
              </w:rPr>
              <w:fldChar w:fldCharType="end"/>
            </w:r>
          </w:hyperlink>
        </w:p>
        <w:p w14:paraId="5F1EDC3E" w14:textId="57A29C8E" w:rsidR="00C05DE2" w:rsidRDefault="00C120CA">
          <w:pPr>
            <w:pStyle w:val="TOC1"/>
            <w:tabs>
              <w:tab w:val="right" w:leader="dot" w:pos="9016"/>
            </w:tabs>
            <w:rPr>
              <w:rFonts w:eastAsiaTheme="minorEastAsia"/>
              <w:noProof/>
              <w:lang w:val="en-AU" w:eastAsia="en-AU"/>
            </w:rPr>
          </w:pPr>
          <w:hyperlink w:anchor="_Toc88818210" w:history="1">
            <w:r w:rsidR="00C05DE2" w:rsidRPr="00AE78AE">
              <w:rPr>
                <w:rStyle w:val="Hyperlink"/>
                <w:noProof/>
              </w:rPr>
              <w:t>ACRONYMS</w:t>
            </w:r>
            <w:r w:rsidR="00C05DE2">
              <w:rPr>
                <w:noProof/>
                <w:webHidden/>
              </w:rPr>
              <w:tab/>
            </w:r>
            <w:r w:rsidR="00C05DE2">
              <w:rPr>
                <w:noProof/>
                <w:webHidden/>
              </w:rPr>
              <w:fldChar w:fldCharType="begin"/>
            </w:r>
            <w:r w:rsidR="00C05DE2">
              <w:rPr>
                <w:noProof/>
                <w:webHidden/>
              </w:rPr>
              <w:instrText xml:space="preserve"> PAGEREF _Toc88818210 \h </w:instrText>
            </w:r>
            <w:r w:rsidR="00C05DE2">
              <w:rPr>
                <w:noProof/>
                <w:webHidden/>
              </w:rPr>
            </w:r>
            <w:r w:rsidR="00C05DE2">
              <w:rPr>
                <w:noProof/>
                <w:webHidden/>
              </w:rPr>
              <w:fldChar w:fldCharType="separate"/>
            </w:r>
            <w:r w:rsidR="005C7BB6">
              <w:rPr>
                <w:noProof/>
                <w:webHidden/>
              </w:rPr>
              <w:t>33</w:t>
            </w:r>
            <w:r w:rsidR="00C05DE2">
              <w:rPr>
                <w:noProof/>
                <w:webHidden/>
              </w:rPr>
              <w:fldChar w:fldCharType="end"/>
            </w:r>
          </w:hyperlink>
        </w:p>
        <w:p w14:paraId="44B974F0" w14:textId="0FCF4AEF" w:rsidR="00942B81" w:rsidRDefault="001277F9" w:rsidP="005D5FDE">
          <w:r>
            <w:rPr>
              <w:b/>
              <w:bCs/>
              <w:noProof/>
            </w:rPr>
            <w:fldChar w:fldCharType="end"/>
          </w:r>
        </w:p>
      </w:sdtContent>
    </w:sdt>
    <w:p w14:paraId="2A1BCF2F" w14:textId="77777777" w:rsidR="00942B81" w:rsidRPr="00942B81" w:rsidRDefault="00942B81" w:rsidP="00942B81"/>
    <w:p w14:paraId="6A696607" w14:textId="77777777" w:rsidR="00942B81" w:rsidRPr="00942B81" w:rsidRDefault="00942B81" w:rsidP="00942B81"/>
    <w:p w14:paraId="7940C3E7" w14:textId="77777777" w:rsidR="00942B81" w:rsidRPr="00942B81" w:rsidRDefault="00942B81" w:rsidP="00942B81"/>
    <w:p w14:paraId="1E7A5F09" w14:textId="029A33C8" w:rsidR="00942B81" w:rsidRDefault="00942B81" w:rsidP="00942B81">
      <w:pPr>
        <w:tabs>
          <w:tab w:val="left" w:pos="1364"/>
        </w:tabs>
      </w:pPr>
      <w:r>
        <w:tab/>
      </w:r>
    </w:p>
    <w:p w14:paraId="0F3465E8" w14:textId="382E8759" w:rsidR="009F0DB8" w:rsidRPr="00942B81" w:rsidRDefault="00942B81" w:rsidP="00942B81">
      <w:pPr>
        <w:tabs>
          <w:tab w:val="left" w:pos="1364"/>
        </w:tabs>
        <w:sectPr w:rsidR="009F0DB8" w:rsidRPr="00942B81" w:rsidSect="000D61A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titlePg/>
          <w:docGrid w:linePitch="360"/>
        </w:sectPr>
      </w:pPr>
      <w:r>
        <w:tab/>
      </w:r>
    </w:p>
    <w:p w14:paraId="51055B66" w14:textId="77777777" w:rsidR="00447DCC" w:rsidRPr="00036CD7" w:rsidRDefault="00447DCC" w:rsidP="00036CD7">
      <w:pPr>
        <w:pStyle w:val="h2"/>
      </w:pPr>
      <w:bookmarkStart w:id="0" w:name="_Toc86924917"/>
      <w:bookmarkStart w:id="1" w:name="_Toc86926864"/>
      <w:bookmarkStart w:id="2" w:name="_Toc86926918"/>
      <w:bookmarkStart w:id="3" w:name="_Toc88818184"/>
      <w:bookmarkStart w:id="4" w:name="_Toc79523336"/>
      <w:r w:rsidRPr="00036CD7">
        <w:lastRenderedPageBreak/>
        <w:t>Date Approved by Joint Council</w:t>
      </w:r>
      <w:bookmarkEnd w:id="0"/>
      <w:bookmarkEnd w:id="1"/>
      <w:bookmarkEnd w:id="2"/>
      <w:bookmarkEnd w:id="3"/>
    </w:p>
    <w:p w14:paraId="55904154" w14:textId="4E5580C4" w:rsidR="00447DCC" w:rsidRPr="00EB4505" w:rsidRDefault="00C41535" w:rsidP="00447DCC">
      <w:pPr>
        <w:rPr>
          <w:rFonts w:ascii="Calibri Light" w:eastAsia="Calibri Light" w:hAnsi="Calibri Light" w:cs="Calibri Light"/>
        </w:rPr>
      </w:pPr>
      <w:r w:rsidRPr="00C41535">
        <w:rPr>
          <w:rFonts w:ascii="Calibri Light" w:eastAsia="Calibri Light" w:hAnsi="Calibri Light" w:cs="Calibri Light"/>
        </w:rPr>
        <w:t>Agreed in principle by Joint Council on 3 December 2021</w:t>
      </w:r>
    </w:p>
    <w:p w14:paraId="0ECA8076" w14:textId="0C391B0F" w:rsidR="00A44BD3" w:rsidRDefault="00A44BD3" w:rsidP="00036CD7">
      <w:pPr>
        <w:pStyle w:val="h2"/>
      </w:pPr>
      <w:bookmarkStart w:id="5" w:name="_Toc88818185"/>
      <w:r>
        <w:t xml:space="preserve">Executive </w:t>
      </w:r>
      <w:r w:rsidRPr="005D5FDE">
        <w:t>Summary</w:t>
      </w:r>
      <w:bookmarkEnd w:id="5"/>
    </w:p>
    <w:p w14:paraId="2588EF4C" w14:textId="77777777" w:rsidR="00447DCC" w:rsidRPr="00B37952" w:rsidRDefault="00447DCC" w:rsidP="00447DCC">
      <w:pPr>
        <w:ind w:right="352"/>
        <w:rPr>
          <w:rFonts w:asciiTheme="majorHAnsi" w:hAnsiTheme="majorHAnsi"/>
          <w:highlight w:val="yellow"/>
          <w:lang w:val="en-US"/>
        </w:rPr>
      </w:pPr>
      <w:r w:rsidRPr="00B37952">
        <w:rPr>
          <w:rFonts w:asciiTheme="majorHAnsi" w:hAnsiTheme="majorHAnsi"/>
          <w:iCs/>
        </w:rPr>
        <w:t>The Aboriginal and Torres Strait Islander community-controlled health sector plays a unique service delivery and leadership role in Australia’s health system.</w:t>
      </w:r>
      <w:r>
        <w:rPr>
          <w:rFonts w:asciiTheme="majorHAnsi" w:hAnsiTheme="majorHAnsi"/>
        </w:rPr>
        <w:t xml:space="preserve"> </w:t>
      </w:r>
      <w:r>
        <w:rPr>
          <w:rFonts w:asciiTheme="majorHAnsi" w:hAnsiTheme="majorHAnsi"/>
          <w:lang w:val="en-US"/>
        </w:rPr>
        <w:t xml:space="preserve">This sector </w:t>
      </w:r>
      <w:r w:rsidRPr="00964CEC">
        <w:rPr>
          <w:rFonts w:asciiTheme="majorHAnsi" w:hAnsiTheme="majorHAnsi"/>
          <w:lang w:val="en-US"/>
        </w:rPr>
        <w:t xml:space="preserve">is strong, broad and highly-regarded. This sector encompasses highly engaged Aboriginal and Torres Strait Islander communities; influential national peak bodies which enable, value-add and support the sector including workforce peak bodies and the </w:t>
      </w:r>
      <w:proofErr w:type="spellStart"/>
      <w:r w:rsidRPr="00964CEC">
        <w:rPr>
          <w:rFonts w:asciiTheme="majorHAnsi" w:hAnsiTheme="majorHAnsi"/>
          <w:lang w:val="en-US"/>
        </w:rPr>
        <w:t>Lowitja</w:t>
      </w:r>
      <w:proofErr w:type="spellEnd"/>
      <w:r w:rsidRPr="00964CEC">
        <w:rPr>
          <w:rFonts w:asciiTheme="majorHAnsi" w:hAnsiTheme="majorHAnsi"/>
          <w:lang w:val="en-US"/>
        </w:rPr>
        <w:t xml:space="preserve"> Institute for research and knowledge transfer; primary health care service providers in diverse locations and active state and territory peak bodies.  </w:t>
      </w:r>
    </w:p>
    <w:p w14:paraId="69817088" w14:textId="580BE4EF" w:rsidR="00447DCC" w:rsidRPr="00964CEC" w:rsidRDefault="00447DCC" w:rsidP="00447DCC">
      <w:pPr>
        <w:ind w:right="352"/>
        <w:rPr>
          <w:rFonts w:asciiTheme="majorHAnsi" w:hAnsiTheme="majorHAnsi" w:cstheme="majorBidi"/>
        </w:rPr>
      </w:pPr>
      <w:r w:rsidRPr="00964CEC">
        <w:rPr>
          <w:rFonts w:asciiTheme="majorHAnsi" w:hAnsiTheme="majorHAnsi"/>
          <w:lang w:val="en-US"/>
        </w:rPr>
        <w:t xml:space="preserve">This three-year Health Sector Strengthening Plan (Health-SSP) acknowledges and responds to the scope of key challenges for the sector. This Health-SSP provides 17 transformative sector strengthening </w:t>
      </w:r>
      <w:r w:rsidRPr="00964CEC">
        <w:rPr>
          <w:rFonts w:asciiTheme="majorHAnsi" w:hAnsiTheme="majorHAnsi" w:cstheme="majorBidi"/>
        </w:rPr>
        <w:t xml:space="preserve">actions. </w:t>
      </w:r>
    </w:p>
    <w:p w14:paraId="18DD676E" w14:textId="77777777" w:rsidR="00447DCC" w:rsidRPr="00FF7808" w:rsidRDefault="00447DCC" w:rsidP="00447DCC">
      <w:pPr>
        <w:ind w:right="352"/>
        <w:rPr>
          <w:rFonts w:ascii="Calibri Light" w:eastAsia="Calibri Light" w:hAnsi="Calibri Light" w:cs="Calibri Light"/>
        </w:rPr>
      </w:pPr>
      <w:r w:rsidRPr="00FF7808">
        <w:rPr>
          <w:rFonts w:ascii="Calibri Light" w:eastAsia="Calibri Light" w:hAnsi="Calibri Light" w:cs="Calibri Light"/>
        </w:rPr>
        <w:t xml:space="preserve">Developed through strong consultation across the Aboriginal and Torres Strait Islander community-controlled health sector and other Aboriginal and Torres Strait Islander health organisations, and through Parties signing the National Agreement on Closing the Gap, the Health-SSP is ready to be used including consideration of actions as appropriate for inclusion in future Closing the Gap Implementation Plans, acknowledging that jurisdictions need flexibility in their Implementation Plans to ensure alignment to existing strategic initiatives and policy reform using these existing strong foundations. </w:t>
      </w:r>
    </w:p>
    <w:p w14:paraId="1684308C" w14:textId="77777777" w:rsidR="00447DCC" w:rsidRDefault="00447DCC" w:rsidP="00447DCC">
      <w:pPr>
        <w:ind w:right="352"/>
        <w:rPr>
          <w:rFonts w:asciiTheme="majorHAnsi" w:hAnsiTheme="majorHAnsi"/>
          <w:lang w:val="en-US"/>
        </w:rPr>
      </w:pPr>
      <w:r w:rsidRPr="00964CEC">
        <w:rPr>
          <w:rFonts w:ascii="Calibri Light" w:eastAsia="Calibri Light" w:hAnsi="Calibri Light" w:cs="Calibri Light"/>
        </w:rPr>
        <w:t xml:space="preserve">While not designed to commit any specific party to resources or actions not already announced, this Health-SSP is offered as a resource to be used over the next three years to prioritise, partner and negotiate beneficial sector-strengthening strategies. </w:t>
      </w:r>
      <w:r w:rsidRPr="00964CEC">
        <w:rPr>
          <w:rFonts w:asciiTheme="majorHAnsi" w:hAnsiTheme="majorHAnsi" w:cstheme="majorBidi"/>
        </w:rPr>
        <w:t xml:space="preserve">The long-term objective of the Health-SSP is to build a strong community-controlled sector reflecting the four sector-strengthening elements outlined in the National Agreement on Closing the Gap (National Agreement). </w:t>
      </w:r>
      <w:r w:rsidRPr="00964CEC">
        <w:rPr>
          <w:rFonts w:asciiTheme="majorHAnsi" w:hAnsiTheme="majorHAnsi"/>
          <w:lang w:val="en-US"/>
        </w:rPr>
        <w:t xml:space="preserve">As exemplified during the COVID-19 pandemic response, an equal partnership between the sector and governments must continue if Australia is to reduce the burden of disease for Aboriginal and Torres Strait Islander peoples, currently 2.3 times that of other Australians. </w:t>
      </w:r>
    </w:p>
    <w:p w14:paraId="797D1D4E" w14:textId="15633B0B" w:rsidR="005D5FDE" w:rsidRDefault="005D5FDE" w:rsidP="00036CD7">
      <w:pPr>
        <w:pStyle w:val="h2"/>
      </w:pPr>
      <w:bookmarkStart w:id="6" w:name="_Toc88818186"/>
      <w:r>
        <w:t>National Agreement on Closing the Gap</w:t>
      </w:r>
      <w:bookmarkEnd w:id="4"/>
      <w:bookmarkEnd w:id="6"/>
    </w:p>
    <w:p w14:paraId="2ECB8FD0" w14:textId="77777777" w:rsidR="00447DCC" w:rsidRPr="00964CEC" w:rsidRDefault="00447DCC" w:rsidP="00447DCC">
      <w:pPr>
        <w:ind w:right="352"/>
        <w:rPr>
          <w:rFonts w:asciiTheme="majorHAnsi" w:hAnsiTheme="majorHAnsi" w:cstheme="majorHAnsi"/>
          <w:iCs/>
        </w:rPr>
      </w:pPr>
      <w:r w:rsidRPr="00964CEC">
        <w:rPr>
          <w:rFonts w:asciiTheme="majorHAnsi" w:hAnsiTheme="majorHAnsi" w:cstheme="majorHAnsi"/>
          <w:iCs/>
        </w:rPr>
        <w:t xml:space="preserve">The National Agreement was agreed and signed by the Coalition of Aboriginal and Torres Strait Islander Peak Organisations (Coalition of Peaks) and Australian Governments in July 2020. The National Agreement includes the following </w:t>
      </w:r>
      <w:r>
        <w:rPr>
          <w:rFonts w:asciiTheme="majorHAnsi" w:hAnsiTheme="majorHAnsi" w:cstheme="majorHAnsi"/>
          <w:iCs/>
        </w:rPr>
        <w:t xml:space="preserve">four </w:t>
      </w:r>
      <w:r w:rsidRPr="00964CEC">
        <w:rPr>
          <w:rFonts w:asciiTheme="majorHAnsi" w:hAnsiTheme="majorHAnsi" w:cstheme="majorHAnsi"/>
          <w:iCs/>
        </w:rPr>
        <w:t xml:space="preserve">Priority Reforms: </w:t>
      </w:r>
    </w:p>
    <w:p w14:paraId="37363C02" w14:textId="77777777" w:rsidR="00447DCC" w:rsidRPr="00964CEC" w:rsidRDefault="00447DCC" w:rsidP="00447DCC">
      <w:pPr>
        <w:numPr>
          <w:ilvl w:val="0"/>
          <w:numId w:val="30"/>
        </w:numPr>
        <w:spacing w:before="0"/>
        <w:ind w:right="352"/>
        <w:rPr>
          <w:rFonts w:asciiTheme="majorHAnsi" w:hAnsiTheme="majorHAnsi" w:cstheme="majorHAnsi"/>
          <w:iCs/>
          <w:lang w:val="en-US"/>
        </w:rPr>
      </w:pPr>
      <w:r w:rsidRPr="00964CEC">
        <w:rPr>
          <w:rFonts w:asciiTheme="majorHAnsi" w:hAnsiTheme="majorHAnsi" w:cstheme="majorHAnsi"/>
          <w:iCs/>
        </w:rPr>
        <w:t xml:space="preserve">Shared decision-making: Aboriginal and Torres Strait Islander people are empowered to share decision-making authority with governments to accelerate policy and place-based progress on Closing the Gap through formal partnership arrangements. </w:t>
      </w:r>
    </w:p>
    <w:p w14:paraId="36A8F244" w14:textId="77777777" w:rsidR="00447DCC" w:rsidRPr="00964CEC" w:rsidRDefault="00447DCC" w:rsidP="00447DCC">
      <w:pPr>
        <w:numPr>
          <w:ilvl w:val="0"/>
          <w:numId w:val="30"/>
        </w:numPr>
        <w:spacing w:before="0"/>
        <w:ind w:right="352"/>
        <w:rPr>
          <w:rFonts w:asciiTheme="majorHAnsi" w:hAnsiTheme="majorHAnsi" w:cstheme="majorHAnsi"/>
          <w:iCs/>
          <w:lang w:val="en-US"/>
        </w:rPr>
      </w:pPr>
      <w:r w:rsidRPr="00964CEC">
        <w:rPr>
          <w:rFonts w:asciiTheme="majorHAnsi" w:hAnsiTheme="majorHAnsi" w:cstheme="majorHAnsi"/>
          <w:iCs/>
        </w:rPr>
        <w:t xml:space="preserve">Building the community-controlled sector: There is a strong and sustainable Aboriginal and Torres Strait Islander community-controlled sector delivering high quality services to meet the needs of Aboriginal and Torres Strait Islander people across the country. </w:t>
      </w:r>
    </w:p>
    <w:p w14:paraId="0A62F6DE" w14:textId="77777777" w:rsidR="00447DCC" w:rsidRPr="00964CEC" w:rsidRDefault="00447DCC" w:rsidP="00447DCC">
      <w:pPr>
        <w:numPr>
          <w:ilvl w:val="0"/>
          <w:numId w:val="30"/>
        </w:numPr>
        <w:spacing w:before="0"/>
        <w:ind w:right="352"/>
        <w:rPr>
          <w:rFonts w:asciiTheme="majorHAnsi" w:hAnsiTheme="majorHAnsi" w:cstheme="majorHAnsi"/>
          <w:iCs/>
          <w:lang w:val="en-US"/>
        </w:rPr>
      </w:pPr>
      <w:r w:rsidRPr="00964CEC">
        <w:rPr>
          <w:rFonts w:asciiTheme="majorHAnsi" w:hAnsiTheme="majorHAnsi" w:cstheme="majorHAnsi"/>
          <w:iCs/>
        </w:rPr>
        <w:lastRenderedPageBreak/>
        <w:t xml:space="preserve">Improving mainstream institutions: Governments, their organisations and their institutions are accountable for Closing the Gap and are culturally safe and responsive to the needs of Aboriginal and Torres Strait Islander people, including through the services they fund. </w:t>
      </w:r>
    </w:p>
    <w:p w14:paraId="11A56629" w14:textId="77777777" w:rsidR="00447DCC" w:rsidRPr="00964CEC" w:rsidRDefault="00447DCC" w:rsidP="00447DCC">
      <w:pPr>
        <w:numPr>
          <w:ilvl w:val="0"/>
          <w:numId w:val="30"/>
        </w:numPr>
        <w:spacing w:before="0"/>
        <w:ind w:right="352"/>
        <w:rPr>
          <w:rFonts w:asciiTheme="majorHAnsi" w:hAnsiTheme="majorHAnsi" w:cstheme="majorHAnsi"/>
          <w:iCs/>
          <w:lang w:val="en-US"/>
        </w:rPr>
      </w:pPr>
      <w:r w:rsidRPr="00964CEC">
        <w:rPr>
          <w:rFonts w:asciiTheme="majorHAnsi" w:hAnsiTheme="majorHAnsi" w:cstheme="majorHAnsi"/>
          <w:iCs/>
        </w:rPr>
        <w:t xml:space="preserve">Aboriginal and Torres Strait Islander-led data: Aboriginal and Torres Strait Islander people have access to, and the capability to use, locally-relevant data and information to set 4 and monitor the implementation of efforts to close the gap, their priorities and drive their own development. </w:t>
      </w:r>
    </w:p>
    <w:p w14:paraId="51F7509A" w14:textId="77777777" w:rsidR="00447DCC" w:rsidRPr="00964CEC" w:rsidRDefault="00447DCC" w:rsidP="00447DCC">
      <w:pPr>
        <w:ind w:right="352"/>
        <w:rPr>
          <w:rFonts w:asciiTheme="majorHAnsi" w:hAnsiTheme="majorHAnsi" w:cstheme="majorHAnsi"/>
          <w:iCs/>
        </w:rPr>
      </w:pPr>
      <w:r w:rsidRPr="00964CEC">
        <w:rPr>
          <w:rFonts w:asciiTheme="majorHAnsi" w:hAnsiTheme="majorHAnsi" w:cstheme="majorHAnsi"/>
          <w:iCs/>
        </w:rPr>
        <w:t>There are 17 socio-economic outcomes.</w:t>
      </w:r>
    </w:p>
    <w:p w14:paraId="6C6A87C9" w14:textId="0270C3A5" w:rsidR="00447DCC" w:rsidRDefault="00447DCC" w:rsidP="00447DCC">
      <w:pPr>
        <w:ind w:right="352"/>
        <w:rPr>
          <w:rFonts w:asciiTheme="majorHAnsi" w:hAnsiTheme="majorHAnsi" w:cstheme="majorHAnsi"/>
          <w:iCs/>
        </w:rPr>
      </w:pPr>
      <w:r w:rsidRPr="00964CEC">
        <w:rPr>
          <w:rFonts w:asciiTheme="majorHAnsi" w:hAnsiTheme="majorHAnsi" w:cstheme="majorHAnsi"/>
          <w:iCs/>
        </w:rPr>
        <w:t xml:space="preserve">The Parties committed to build strong Aboriginal and Torres Strait Islander community-controlled sectors to deliver services to support Closing the Gap. Health was identified as one of four initial sectors for joint national strengthening effort and the development of a three-year Sector Strengthening Plan. </w:t>
      </w:r>
    </w:p>
    <w:p w14:paraId="25A05181" w14:textId="734F84D4" w:rsidR="00447DCC" w:rsidRPr="00964CEC" w:rsidRDefault="00447DCC" w:rsidP="00447DCC">
      <w:pPr>
        <w:ind w:right="352"/>
        <w:rPr>
          <w:rFonts w:asciiTheme="majorHAnsi" w:hAnsiTheme="majorHAnsi" w:cstheme="majorHAnsi"/>
          <w:iCs/>
        </w:rPr>
      </w:pPr>
      <w:r w:rsidRPr="00964CEC">
        <w:rPr>
          <w:rFonts w:asciiTheme="majorHAnsi" w:hAnsiTheme="majorHAnsi" w:cstheme="majorHAnsi"/>
          <w:iCs/>
        </w:rPr>
        <w:t xml:space="preserve">Clause 45 of the National Agreement states that the Parties agree that elements of a strong sector are where: </w:t>
      </w:r>
    </w:p>
    <w:p w14:paraId="12637A83" w14:textId="77777777" w:rsidR="00447DCC" w:rsidRPr="00964CEC" w:rsidRDefault="00447DCC" w:rsidP="00447DCC">
      <w:pPr>
        <w:pStyle w:val="ListParagraph"/>
        <w:numPr>
          <w:ilvl w:val="0"/>
          <w:numId w:val="31"/>
        </w:numPr>
        <w:spacing w:before="0"/>
        <w:ind w:right="352"/>
        <w:contextualSpacing/>
        <w:rPr>
          <w:rFonts w:asciiTheme="majorHAnsi" w:hAnsiTheme="majorHAnsi" w:cstheme="majorHAnsi"/>
          <w:iCs/>
        </w:rPr>
      </w:pPr>
      <w:r w:rsidRPr="00964CEC">
        <w:rPr>
          <w:rFonts w:asciiTheme="majorHAnsi" w:hAnsiTheme="majorHAnsi" w:cstheme="majorHAnsi"/>
          <w:iCs/>
        </w:rPr>
        <w:t xml:space="preserve">there is sustained capacity building and investment in Aboriginal and Torres Strait Islander community-controlled organisations which deliver certain services and address issues through a set of clearly defined standards or requirements, such as an agreed model of care </w:t>
      </w:r>
    </w:p>
    <w:p w14:paraId="0D5FB35B" w14:textId="77777777" w:rsidR="00447DCC" w:rsidRPr="00964CEC" w:rsidRDefault="00447DCC" w:rsidP="00447DCC">
      <w:pPr>
        <w:pStyle w:val="ListParagraph"/>
        <w:numPr>
          <w:ilvl w:val="0"/>
          <w:numId w:val="31"/>
        </w:numPr>
        <w:spacing w:before="0"/>
        <w:ind w:right="352"/>
        <w:contextualSpacing/>
        <w:rPr>
          <w:rFonts w:asciiTheme="majorHAnsi" w:hAnsiTheme="majorHAnsi" w:cstheme="majorHAnsi"/>
          <w:iCs/>
        </w:rPr>
      </w:pPr>
      <w:r w:rsidRPr="00964CEC">
        <w:rPr>
          <w:rFonts w:asciiTheme="majorHAnsi" w:hAnsiTheme="majorHAnsi" w:cstheme="majorHAnsi"/>
          <w:iCs/>
        </w:rPr>
        <w:t xml:space="preserve">there is a dedicated and identified Aboriginal and Torres Strait Islander workforce (that complements a range of other professions and expertise) and where people working in community-controlled sectors have wage parity based on workforce modelling commensurate with need </w:t>
      </w:r>
    </w:p>
    <w:p w14:paraId="2B7073A4" w14:textId="77777777" w:rsidR="00447DCC" w:rsidRPr="00964CEC" w:rsidRDefault="00447DCC" w:rsidP="00447DCC">
      <w:pPr>
        <w:pStyle w:val="ListParagraph"/>
        <w:numPr>
          <w:ilvl w:val="0"/>
          <w:numId w:val="31"/>
        </w:numPr>
        <w:spacing w:before="0"/>
        <w:ind w:right="352"/>
        <w:contextualSpacing/>
        <w:rPr>
          <w:rFonts w:asciiTheme="majorHAnsi" w:hAnsiTheme="majorHAnsi" w:cstheme="majorHAnsi"/>
          <w:iCs/>
        </w:rPr>
      </w:pPr>
      <w:r w:rsidRPr="00964CEC">
        <w:rPr>
          <w:rFonts w:asciiTheme="majorHAnsi" w:hAnsiTheme="majorHAnsi" w:cstheme="majorHAnsi"/>
          <w:iCs/>
        </w:rPr>
        <w:t xml:space="preserve">Aboriginal and Torres Strait Islander community-controlled organisations which deliver common services are supported by a Peak Body, governed by a majority Aboriginal and Torres Strait Islander Board, which has strong governance and policy development and influencing capacity </w:t>
      </w:r>
    </w:p>
    <w:p w14:paraId="14111C4B" w14:textId="77777777" w:rsidR="00447DCC" w:rsidRPr="00964CEC" w:rsidRDefault="00447DCC" w:rsidP="00447DCC">
      <w:pPr>
        <w:pStyle w:val="ListParagraph"/>
        <w:numPr>
          <w:ilvl w:val="0"/>
          <w:numId w:val="31"/>
        </w:numPr>
        <w:spacing w:before="0"/>
        <w:ind w:right="352"/>
        <w:contextualSpacing/>
        <w:rPr>
          <w:rFonts w:asciiTheme="majorHAnsi" w:hAnsiTheme="majorHAnsi" w:cstheme="majorHAnsi"/>
          <w:iCs/>
        </w:rPr>
      </w:pPr>
      <w:r w:rsidRPr="00964CEC">
        <w:rPr>
          <w:rFonts w:asciiTheme="majorHAnsi" w:hAnsiTheme="majorHAnsi" w:cstheme="majorHAnsi"/>
          <w:iCs/>
        </w:rPr>
        <w:t>Aboriginal and Torres Strait Islander community-controlled organisations which deliver common services have a dedicated, reliable and consistent funding model designed to suit the types of services required by communities, responsive to the needs of those receiving the services, and is developed in consultation with the relevant Peak body.</w:t>
      </w:r>
    </w:p>
    <w:p w14:paraId="137BFC5F" w14:textId="3B0E4611" w:rsidR="00861967" w:rsidRPr="00C44A6E" w:rsidRDefault="00861967" w:rsidP="00861967">
      <w:pPr>
        <w:rPr>
          <w:rFonts w:ascii="Calibri Light" w:eastAsia="Calibri Light" w:hAnsi="Calibri Light" w:cs="Calibri Light"/>
        </w:rPr>
      </w:pPr>
      <w:r w:rsidRPr="00051CD4">
        <w:rPr>
          <w:rFonts w:ascii="Calibri Light" w:eastAsia="Calibri Light" w:hAnsi="Calibri Light" w:cs="Calibri Light"/>
        </w:rPr>
        <w:t>Clause 59(d) of the National Agreement states that the Government Parties commit to implement six transformation elements within government mainstream institutions and agencies. Among these six elements, the Government Parties will increase accountability through transparent funding allocations to improve transparency of resource allocation to, and distribution by, mainstream institutions in relation to dedicated Aboriginal and Torres Strait Islander service-delivery.</w:t>
      </w:r>
    </w:p>
    <w:p w14:paraId="6045771F" w14:textId="2C81BE51" w:rsidR="005D5FDE" w:rsidRDefault="005D5FDE" w:rsidP="00036CD7">
      <w:pPr>
        <w:pStyle w:val="h2"/>
      </w:pPr>
      <w:bookmarkStart w:id="7" w:name="_Toc79523337"/>
      <w:bookmarkStart w:id="8" w:name="_Toc88818187"/>
      <w:r>
        <w:t>Governance of the Plan</w:t>
      </w:r>
      <w:bookmarkEnd w:id="7"/>
      <w:bookmarkEnd w:id="8"/>
    </w:p>
    <w:p w14:paraId="7BE5DD1E" w14:textId="77777777" w:rsidR="00C120CA" w:rsidRDefault="00447DCC" w:rsidP="00C120CA">
      <w:pPr>
        <w:rPr>
          <w:rFonts w:asciiTheme="majorHAnsi" w:hAnsiTheme="majorHAnsi" w:cstheme="majorBidi"/>
        </w:rPr>
      </w:pPr>
      <w:r w:rsidRPr="00301D65">
        <w:rPr>
          <w:rFonts w:asciiTheme="majorHAnsi" w:hAnsiTheme="majorHAnsi" w:cstheme="majorBidi"/>
        </w:rPr>
        <w:t xml:space="preserve">This three-year </w:t>
      </w:r>
      <w:r>
        <w:rPr>
          <w:rFonts w:asciiTheme="majorHAnsi" w:hAnsiTheme="majorHAnsi" w:cstheme="majorBidi"/>
        </w:rPr>
        <w:t>Health-SSP</w:t>
      </w:r>
      <w:r w:rsidRPr="00301D65">
        <w:rPr>
          <w:rFonts w:asciiTheme="majorHAnsi" w:hAnsiTheme="majorHAnsi" w:cstheme="majorBidi"/>
        </w:rPr>
        <w:t xml:space="preserve"> was developed by the </w:t>
      </w:r>
      <w:r>
        <w:rPr>
          <w:rFonts w:asciiTheme="majorHAnsi" w:hAnsiTheme="majorHAnsi" w:cstheme="majorBidi"/>
        </w:rPr>
        <w:t>Health</w:t>
      </w:r>
      <w:r w:rsidRPr="00301D65">
        <w:rPr>
          <w:rFonts w:asciiTheme="majorHAnsi" w:hAnsiTheme="majorHAnsi" w:cstheme="majorBidi"/>
        </w:rPr>
        <w:t xml:space="preserve"> Sector Strengthening </w:t>
      </w:r>
      <w:r>
        <w:rPr>
          <w:rFonts w:asciiTheme="majorHAnsi" w:hAnsiTheme="majorHAnsi" w:cstheme="majorBidi"/>
        </w:rPr>
        <w:t xml:space="preserve">Plan </w:t>
      </w:r>
      <w:r w:rsidRPr="00301D65">
        <w:rPr>
          <w:rFonts w:asciiTheme="majorHAnsi" w:hAnsiTheme="majorHAnsi" w:cstheme="majorBidi"/>
        </w:rPr>
        <w:t>Working Group (</w:t>
      </w:r>
      <w:r>
        <w:rPr>
          <w:rFonts w:asciiTheme="majorHAnsi" w:hAnsiTheme="majorHAnsi" w:cstheme="majorBidi"/>
        </w:rPr>
        <w:t>HSSP</w:t>
      </w:r>
      <w:r w:rsidRPr="00301D65">
        <w:rPr>
          <w:rFonts w:asciiTheme="majorHAnsi" w:hAnsiTheme="majorHAnsi" w:cstheme="majorBidi"/>
        </w:rPr>
        <w:t>WG)</w:t>
      </w:r>
      <w:r>
        <w:rPr>
          <w:rFonts w:asciiTheme="majorHAnsi" w:hAnsiTheme="majorHAnsi" w:cstheme="majorBidi"/>
        </w:rPr>
        <w:t>.</w:t>
      </w:r>
      <w:r w:rsidRPr="00D7185D">
        <w:rPr>
          <w:rFonts w:asciiTheme="majorHAnsi" w:hAnsiTheme="majorHAnsi" w:cstheme="majorBidi"/>
        </w:rPr>
        <w:t xml:space="preserve"> The HSSPWG was established to develop the Health-SSP for approval</w:t>
      </w:r>
      <w:r>
        <w:rPr>
          <w:rFonts w:asciiTheme="majorHAnsi" w:hAnsiTheme="majorHAnsi" w:cstheme="majorBidi"/>
        </w:rPr>
        <w:t xml:space="preserve"> by Joint Council. The HSSWG is</w:t>
      </w:r>
      <w:r w:rsidRPr="00301D65">
        <w:rPr>
          <w:rFonts w:asciiTheme="majorHAnsi" w:hAnsiTheme="majorHAnsi" w:cstheme="majorBidi"/>
        </w:rPr>
        <w:t xml:space="preserve"> co-chaired by </w:t>
      </w:r>
      <w:r w:rsidRPr="00301D65">
        <w:rPr>
          <w:rFonts w:ascii="Calibri Light" w:eastAsia="Calibri Light" w:hAnsi="Calibri Light" w:cs="Calibri Light"/>
        </w:rPr>
        <w:t xml:space="preserve">National Aboriginal Community Controlled </w:t>
      </w:r>
      <w:r>
        <w:rPr>
          <w:rFonts w:ascii="Calibri Light" w:eastAsia="Calibri Light" w:hAnsi="Calibri Light" w:cs="Calibri Light"/>
        </w:rPr>
        <w:t>Health</w:t>
      </w:r>
      <w:r w:rsidRPr="00301D65">
        <w:rPr>
          <w:rFonts w:ascii="Calibri Light" w:eastAsia="Calibri Light" w:hAnsi="Calibri Light" w:cs="Calibri Light"/>
        </w:rPr>
        <w:t xml:space="preserve"> Organisation (</w:t>
      </w:r>
      <w:r w:rsidRPr="00301D65">
        <w:rPr>
          <w:rFonts w:asciiTheme="majorHAnsi" w:hAnsiTheme="majorHAnsi" w:cstheme="majorBidi"/>
        </w:rPr>
        <w:t xml:space="preserve">NACCHO) and the </w:t>
      </w:r>
      <w:r>
        <w:rPr>
          <w:rFonts w:asciiTheme="majorHAnsi" w:hAnsiTheme="majorHAnsi" w:cstheme="majorBidi"/>
        </w:rPr>
        <w:t xml:space="preserve">Australian Government </w:t>
      </w:r>
      <w:r w:rsidRPr="00301D65">
        <w:rPr>
          <w:rFonts w:asciiTheme="majorHAnsi" w:hAnsiTheme="majorHAnsi" w:cstheme="majorBidi"/>
        </w:rPr>
        <w:t xml:space="preserve">Department of </w:t>
      </w:r>
      <w:r>
        <w:rPr>
          <w:rFonts w:asciiTheme="majorHAnsi" w:hAnsiTheme="majorHAnsi" w:cstheme="majorBidi"/>
        </w:rPr>
        <w:t>Health</w:t>
      </w:r>
      <w:r w:rsidRPr="00301D65">
        <w:rPr>
          <w:rFonts w:asciiTheme="majorHAnsi" w:hAnsiTheme="majorHAnsi" w:cstheme="majorBidi"/>
        </w:rPr>
        <w:t xml:space="preserve">. </w:t>
      </w:r>
      <w:r w:rsidRPr="00C64337">
        <w:rPr>
          <w:rFonts w:asciiTheme="majorHAnsi" w:hAnsiTheme="majorHAnsi" w:cstheme="majorBidi"/>
        </w:rPr>
        <w:t>The HSSPWG membership in</w:t>
      </w:r>
      <w:r>
        <w:rPr>
          <w:rFonts w:asciiTheme="majorHAnsi" w:hAnsiTheme="majorHAnsi" w:cstheme="majorBidi"/>
        </w:rPr>
        <w:t>cludes</w:t>
      </w:r>
      <w:r w:rsidRPr="00C64337">
        <w:rPr>
          <w:rFonts w:asciiTheme="majorHAnsi" w:hAnsiTheme="majorHAnsi" w:cstheme="majorBidi"/>
        </w:rPr>
        <w:t xml:space="preserve"> representation from the </w:t>
      </w:r>
      <w:r w:rsidRPr="00153BDB">
        <w:rPr>
          <w:rFonts w:asciiTheme="majorHAnsi" w:hAnsiTheme="majorHAnsi" w:cstheme="majorBidi"/>
        </w:rPr>
        <w:t xml:space="preserve">sector, sector workforce peak bodies, and </w:t>
      </w:r>
      <w:r>
        <w:rPr>
          <w:rFonts w:asciiTheme="majorHAnsi" w:hAnsiTheme="majorHAnsi" w:cstheme="majorBidi"/>
        </w:rPr>
        <w:t>Australian</w:t>
      </w:r>
      <w:r w:rsidRPr="00153BDB">
        <w:rPr>
          <w:rFonts w:asciiTheme="majorHAnsi" w:hAnsiTheme="majorHAnsi" w:cstheme="majorBidi"/>
        </w:rPr>
        <w:t>, state and territory governments</w:t>
      </w:r>
      <w:bookmarkStart w:id="9" w:name="_GoBack"/>
      <w:bookmarkEnd w:id="9"/>
      <w:r w:rsidR="00C120CA" w:rsidRPr="00C120CA">
        <w:rPr>
          <w:rFonts w:asciiTheme="majorHAnsi" w:hAnsiTheme="majorHAnsi" w:cstheme="majorBidi"/>
        </w:rPr>
        <w:t>. The HSSPWG was established to develop the Health-SSP for approval by Joint Council.</w:t>
      </w:r>
    </w:p>
    <w:p w14:paraId="38835875" w14:textId="77777777" w:rsidR="00C120CA" w:rsidRDefault="00447DCC" w:rsidP="00861967">
      <w:pPr>
        <w:rPr>
          <w:rFonts w:asciiTheme="majorHAnsi" w:hAnsiTheme="majorHAnsi" w:cstheme="majorBidi"/>
        </w:rPr>
      </w:pPr>
      <w:r w:rsidRPr="009865A0">
        <w:rPr>
          <w:rFonts w:asciiTheme="majorHAnsi" w:hAnsiTheme="majorHAnsi" w:cstheme="majorBidi"/>
        </w:rPr>
        <w:lastRenderedPageBreak/>
        <w:t xml:space="preserve">This three-year Health-SSP is put forward as a vital resource for actions for all Parties to the National Agreement to consider and incorporate as relevant in their ongoing </w:t>
      </w:r>
      <w:r>
        <w:rPr>
          <w:rFonts w:asciiTheme="majorHAnsi" w:hAnsiTheme="majorHAnsi" w:cstheme="majorBidi"/>
        </w:rPr>
        <w:t xml:space="preserve">Closing the Gap </w:t>
      </w:r>
      <w:r w:rsidRPr="009865A0">
        <w:rPr>
          <w:rFonts w:asciiTheme="majorHAnsi" w:hAnsiTheme="majorHAnsi" w:cstheme="majorBidi"/>
        </w:rPr>
        <w:t xml:space="preserve">Implementation Plans. </w:t>
      </w:r>
    </w:p>
    <w:p w14:paraId="6DFBBD45" w14:textId="77777777" w:rsidR="00C120CA" w:rsidRPr="00C120CA" w:rsidRDefault="00C120CA" w:rsidP="00C120CA">
      <w:pPr>
        <w:rPr>
          <w:rFonts w:asciiTheme="majorHAnsi" w:hAnsiTheme="majorHAnsi" w:cstheme="majorBidi"/>
        </w:rPr>
      </w:pPr>
      <w:r w:rsidRPr="00C120CA">
        <w:rPr>
          <w:rFonts w:asciiTheme="majorHAnsi" w:hAnsiTheme="majorHAnsi" w:cstheme="majorBidi"/>
        </w:rPr>
        <w:t>Joint Council is responsible for monitoring implementation of the National Agreement including progress by the Parties.</w:t>
      </w:r>
      <w:r w:rsidRPr="004754CD">
        <w:rPr>
          <w:rFonts w:asciiTheme="majorHAnsi" w:hAnsiTheme="majorHAnsi" w:cstheme="majorBidi"/>
        </w:rPr>
        <w:t xml:space="preserve"> </w:t>
      </w:r>
      <w:r w:rsidR="00447DCC" w:rsidRPr="009865A0">
        <w:rPr>
          <w:rFonts w:asciiTheme="majorHAnsi" w:hAnsiTheme="majorHAnsi" w:cstheme="majorBidi"/>
        </w:rPr>
        <w:t xml:space="preserve">Jurisdictional Closing the Gap Implementation Plans and their </w:t>
      </w:r>
      <w:r w:rsidR="00447DCC" w:rsidRPr="009865A0">
        <w:rPr>
          <w:rFonts w:asciiTheme="majorHAnsi" w:hAnsiTheme="majorHAnsi" w:cstheme="majorBidi"/>
          <w:lang w:val="en-US"/>
        </w:rPr>
        <w:t xml:space="preserve">Annual Reports on their jurisdictional Implementation Plans as identified in Clause 118 and 119 of the National Agreement </w:t>
      </w:r>
      <w:r w:rsidR="00447DCC" w:rsidRPr="009865A0">
        <w:rPr>
          <w:rFonts w:asciiTheme="majorHAnsi" w:hAnsiTheme="majorHAnsi" w:cstheme="majorBidi"/>
        </w:rPr>
        <w:t xml:space="preserve">will set out specific jurisdictional actions, including any future funding commitments </w:t>
      </w:r>
      <w:r w:rsidR="00447DCC">
        <w:rPr>
          <w:rFonts w:asciiTheme="majorHAnsi" w:hAnsiTheme="majorHAnsi" w:cstheme="majorBidi"/>
        </w:rPr>
        <w:t>not already announced for sector strengthening</w:t>
      </w:r>
      <w:r w:rsidR="00447DCC" w:rsidRPr="009865A0">
        <w:rPr>
          <w:rFonts w:asciiTheme="majorHAnsi" w:hAnsiTheme="majorHAnsi" w:cstheme="majorBidi"/>
        </w:rPr>
        <w:t>.</w:t>
      </w:r>
      <w:r w:rsidR="00447DCC">
        <w:rPr>
          <w:rFonts w:asciiTheme="majorHAnsi" w:hAnsiTheme="majorHAnsi" w:cstheme="majorBidi"/>
        </w:rPr>
        <w:t xml:space="preserve">  </w:t>
      </w:r>
      <w:r w:rsidRPr="00C120CA">
        <w:rPr>
          <w:rFonts w:asciiTheme="majorHAnsi" w:hAnsiTheme="majorHAnsi" w:cstheme="majorBidi"/>
        </w:rPr>
        <w:t>All Parties will report on implementation of the Health-SSP in their National Agreement Implementation Plan annual reports, which are provided to PWG and Joint Council.</w:t>
      </w:r>
    </w:p>
    <w:p w14:paraId="6D98DFE6" w14:textId="77777777" w:rsidR="00C120CA" w:rsidRPr="00C120CA" w:rsidRDefault="00C120CA" w:rsidP="00C120CA">
      <w:pPr>
        <w:rPr>
          <w:rFonts w:asciiTheme="majorHAnsi" w:hAnsiTheme="majorHAnsi" w:cstheme="majorBidi"/>
        </w:rPr>
      </w:pPr>
      <w:r w:rsidRPr="00C120CA">
        <w:rPr>
          <w:rFonts w:asciiTheme="majorHAnsi" w:hAnsiTheme="majorHAnsi" w:cstheme="majorBidi"/>
        </w:rPr>
        <w:t>In their annual reports, jurisdictions, in collaboration with relevant stakeholders, may prioritise implementation of different Sector Strengthening Plan actions at different times, depending on the requirements of the sector in a particular jurisdiction.</w:t>
      </w:r>
    </w:p>
    <w:p w14:paraId="7E99F861" w14:textId="0D30AED8" w:rsidR="00447DCC" w:rsidRDefault="00447DCC" w:rsidP="00861967">
      <w:pPr>
        <w:rPr>
          <w:rFonts w:asciiTheme="majorHAnsi" w:hAnsiTheme="majorHAnsi" w:cstheme="majorBidi"/>
        </w:rPr>
      </w:pPr>
    </w:p>
    <w:p w14:paraId="729FD49C" w14:textId="466B5F50" w:rsidR="000E7800" w:rsidRDefault="005D5FDE" w:rsidP="00036CD7">
      <w:pPr>
        <w:pStyle w:val="h2"/>
      </w:pPr>
      <w:bookmarkStart w:id="10" w:name="_Toc79523338"/>
      <w:bookmarkStart w:id="11" w:name="_Toc88818188"/>
      <w:r>
        <w:t>Review of the plan</w:t>
      </w:r>
      <w:bookmarkEnd w:id="10"/>
      <w:bookmarkEnd w:id="11"/>
    </w:p>
    <w:p w14:paraId="09B06E22" w14:textId="77777777" w:rsidR="00C120CA" w:rsidRPr="00A278C6" w:rsidRDefault="00C120CA" w:rsidP="00C120CA">
      <w:pPr>
        <w:rPr>
          <w:rFonts w:asciiTheme="majorHAnsi" w:hAnsiTheme="majorHAnsi"/>
          <w:lang w:val="en-US"/>
        </w:rPr>
      </w:pPr>
      <w:bookmarkStart w:id="12" w:name="_Toc79523339"/>
      <w:bookmarkStart w:id="13" w:name="_Toc88818189"/>
      <w:r w:rsidRPr="00C120CA">
        <w:rPr>
          <w:rFonts w:asciiTheme="majorHAnsi" w:hAnsiTheme="majorHAnsi"/>
          <w:lang w:val="en-US"/>
        </w:rPr>
        <w:t>Progress on implementation of this Health-SSP will be reviewed annually through PWG and Joint Council consideration of progress reporting. PWG and Joint Council will consider at that time whether any updates are required to the Plan and highlight key areas where Parties can work together to achieve shared outcomes.</w:t>
      </w:r>
    </w:p>
    <w:p w14:paraId="21A120E3" w14:textId="43BCF784" w:rsidR="00190ED8" w:rsidRDefault="005D5FDE" w:rsidP="00036CD7">
      <w:pPr>
        <w:pStyle w:val="h2"/>
      </w:pPr>
      <w:r>
        <w:t>Reporting of the Plan</w:t>
      </w:r>
      <w:bookmarkEnd w:id="12"/>
      <w:bookmarkEnd w:id="13"/>
    </w:p>
    <w:p w14:paraId="7ACDF934" w14:textId="77777777" w:rsidR="00C120CA" w:rsidRPr="00C120CA" w:rsidRDefault="00C120CA" w:rsidP="00C120CA">
      <w:pPr>
        <w:pStyle w:val="h2"/>
        <w:rPr>
          <w:color w:val="auto"/>
          <w:sz w:val="22"/>
          <w:szCs w:val="22"/>
          <w:lang w:val="en-US"/>
        </w:rPr>
      </w:pPr>
      <w:r w:rsidRPr="00C120CA">
        <w:rPr>
          <w:color w:val="auto"/>
          <w:sz w:val="22"/>
          <w:szCs w:val="22"/>
        </w:rPr>
        <w:t>All Governments and the community-controlled sector will report on progress against actions in the Plan in their Closing the Gap implementation plans and associated annual reporting.</w:t>
      </w:r>
      <w:r w:rsidRPr="00C120CA">
        <w:rPr>
          <w:color w:val="auto"/>
          <w:sz w:val="22"/>
          <w:szCs w:val="22"/>
          <w:lang w:val="en-US"/>
        </w:rPr>
        <w:t xml:space="preserve"> The template for Closing the Gap Implementation Plan annual reports includes reporting on progress of each Plan.</w:t>
      </w:r>
    </w:p>
    <w:p w14:paraId="4ADE4530" w14:textId="77777777" w:rsidR="00C120CA" w:rsidRPr="00C120CA" w:rsidRDefault="00C120CA" w:rsidP="00C120CA">
      <w:pPr>
        <w:pStyle w:val="h2"/>
        <w:rPr>
          <w:color w:val="auto"/>
          <w:sz w:val="22"/>
          <w:szCs w:val="22"/>
          <w:lang w:val="en-US"/>
        </w:rPr>
      </w:pPr>
      <w:r w:rsidRPr="00C120CA">
        <w:rPr>
          <w:color w:val="auto"/>
          <w:sz w:val="22"/>
          <w:szCs w:val="22"/>
          <w:lang w:val="en-US"/>
        </w:rPr>
        <w:t>In line with the National Agreement, a partnership approach between the community-controlled sector and governments is critical to delivery of the Health-SSP.</w:t>
      </w:r>
    </w:p>
    <w:p w14:paraId="06E2C967" w14:textId="7667BEE2" w:rsidR="00C120CA" w:rsidRPr="00C120CA" w:rsidRDefault="00C120CA" w:rsidP="00C120CA">
      <w:pPr>
        <w:pStyle w:val="h2"/>
        <w:rPr>
          <w:color w:val="auto"/>
          <w:sz w:val="22"/>
          <w:szCs w:val="22"/>
          <w:lang w:val="en-US"/>
        </w:rPr>
      </w:pPr>
      <w:r w:rsidRPr="00C120CA">
        <w:rPr>
          <w:color w:val="auto"/>
          <w:sz w:val="22"/>
          <w:szCs w:val="22"/>
          <w:lang w:val="en-US"/>
        </w:rPr>
        <w:t xml:space="preserve">It is expected that jurisdictions will engage early with Peaks and community-controlled </w:t>
      </w:r>
      <w:proofErr w:type="spellStart"/>
      <w:r w:rsidRPr="00C120CA">
        <w:rPr>
          <w:color w:val="auto"/>
          <w:sz w:val="22"/>
          <w:szCs w:val="22"/>
          <w:lang w:val="en-US"/>
        </w:rPr>
        <w:t>organisations</w:t>
      </w:r>
      <w:proofErr w:type="spellEnd"/>
      <w:r w:rsidRPr="00C120CA">
        <w:rPr>
          <w:color w:val="auto"/>
          <w:sz w:val="22"/>
          <w:szCs w:val="22"/>
          <w:lang w:val="en-US"/>
        </w:rPr>
        <w:t xml:space="preserve"> as part of their annual report preparation and budget processes and that the views of community-controlled </w:t>
      </w:r>
      <w:proofErr w:type="spellStart"/>
      <w:r w:rsidRPr="00C120CA">
        <w:rPr>
          <w:color w:val="auto"/>
          <w:sz w:val="22"/>
          <w:szCs w:val="22"/>
          <w:lang w:val="en-US"/>
        </w:rPr>
        <w:t>organisations</w:t>
      </w:r>
      <w:proofErr w:type="spellEnd"/>
      <w:r w:rsidRPr="00C120CA">
        <w:rPr>
          <w:color w:val="auto"/>
          <w:sz w:val="22"/>
          <w:szCs w:val="22"/>
          <w:lang w:val="en-US"/>
        </w:rPr>
        <w:t xml:space="preserve"> are reflected in these reports. The Coalition of Peaks also prepares an annual report, which may include more in-depth analysis of any community-controlled sector views on Sector Strengthening Plan implementation.</w:t>
      </w:r>
      <w:r w:rsidRPr="00825C95">
        <w:rPr>
          <w:color w:val="auto"/>
          <w:sz w:val="22"/>
          <w:szCs w:val="22"/>
          <w:lang w:val="en-US"/>
        </w:rPr>
        <w:t xml:space="preserve"> </w:t>
      </w:r>
    </w:p>
    <w:p w14:paraId="45202194" w14:textId="02620EEA" w:rsidR="00BB4589" w:rsidRPr="00C44A6E" w:rsidRDefault="00447DCC" w:rsidP="00C44A6E">
      <w:pPr>
        <w:pStyle w:val="ListParagraph"/>
        <w:numPr>
          <w:ilvl w:val="0"/>
          <w:numId w:val="0"/>
        </w:numPr>
        <w:ind w:right="352"/>
        <w:rPr>
          <w:rFonts w:asciiTheme="majorHAnsi" w:hAnsiTheme="majorHAnsi"/>
        </w:rPr>
      </w:pPr>
      <w:r w:rsidRPr="009865A0">
        <w:rPr>
          <w:rFonts w:asciiTheme="majorHAnsi" w:hAnsiTheme="majorHAnsi" w:cstheme="majorBidi"/>
          <w:lang w:val="en-US"/>
        </w:rPr>
        <w:t xml:space="preserve">Consideration of the key areas of action in this Health-SSP will support </w:t>
      </w:r>
      <w:r>
        <w:rPr>
          <w:rFonts w:asciiTheme="majorHAnsi" w:hAnsiTheme="majorHAnsi" w:cstheme="majorBidi"/>
          <w:lang w:val="en-US"/>
        </w:rPr>
        <w:t xml:space="preserve">all Parties </w:t>
      </w:r>
      <w:r w:rsidRPr="009865A0">
        <w:rPr>
          <w:rFonts w:asciiTheme="majorHAnsi" w:hAnsiTheme="majorHAnsi" w:cstheme="majorBidi"/>
          <w:lang w:val="en-US"/>
        </w:rPr>
        <w:t xml:space="preserve">to meet their obligations under the National Agreement. </w:t>
      </w:r>
      <w:r w:rsidRPr="009865A0">
        <w:rPr>
          <w:rFonts w:asciiTheme="majorHAnsi" w:hAnsiTheme="majorHAnsi" w:cstheme="majorBidi"/>
        </w:rPr>
        <w:t xml:space="preserve">Governance mechanisms for monitoring and reporting progress need further consideration by the Partnership Working Group. </w:t>
      </w:r>
      <w:r w:rsidRPr="009865A0">
        <w:rPr>
          <w:rFonts w:asciiTheme="majorHAnsi" w:hAnsiTheme="majorHAnsi"/>
        </w:rPr>
        <w:t xml:space="preserve">In this Health-SSP, each key action has been assigned at least one lead responsible for implementation and reporting (see Responsibilities column in Section 10 Key Areas for Action). This does not preclude others from contributing to the achievement of any action. </w:t>
      </w:r>
      <w:r w:rsidRPr="009865A0">
        <w:rPr>
          <w:rFonts w:asciiTheme="majorHAnsi" w:hAnsiTheme="majorHAnsi"/>
          <w:lang w:val="en-US"/>
        </w:rPr>
        <w:t xml:space="preserve">In addition, the Health-SSP </w:t>
      </w:r>
      <w:proofErr w:type="spellStart"/>
      <w:r w:rsidRPr="009865A0">
        <w:rPr>
          <w:rFonts w:asciiTheme="majorHAnsi" w:hAnsiTheme="majorHAnsi"/>
          <w:lang w:val="en-US"/>
        </w:rPr>
        <w:t>recognises</w:t>
      </w:r>
      <w:proofErr w:type="spellEnd"/>
      <w:r w:rsidRPr="009865A0">
        <w:rPr>
          <w:rFonts w:asciiTheme="majorHAnsi" w:hAnsiTheme="majorHAnsi"/>
          <w:lang w:val="en-US"/>
        </w:rPr>
        <w:t xml:space="preserve"> and intersects with a range of existing policies, frameworks and programs at both the jurisdiction level as well as the national level in order to build on current initiatives and maximize collaboration. </w:t>
      </w:r>
      <w:r w:rsidRPr="009865A0">
        <w:rPr>
          <w:rFonts w:asciiTheme="majorHAnsi" w:hAnsiTheme="majorHAnsi"/>
        </w:rPr>
        <w:t xml:space="preserve">The key actions presented in this Health-SSP are priorities and are not designed to be implemented in sequence. It is also acknowledged that an integrated approach between each of </w:t>
      </w:r>
      <w:r w:rsidRPr="009865A0">
        <w:rPr>
          <w:rFonts w:asciiTheme="majorHAnsi" w:hAnsiTheme="majorHAnsi"/>
        </w:rPr>
        <w:lastRenderedPageBreak/>
        <w:t xml:space="preserve">the other Sector Strengthening Plans </w:t>
      </w:r>
      <w:r w:rsidRPr="009865A0">
        <w:rPr>
          <w:rFonts w:asciiTheme="majorHAnsi" w:hAnsiTheme="majorHAnsi"/>
          <w:iCs/>
          <w:lang w:val="en-US"/>
        </w:rPr>
        <w:t xml:space="preserve">(Early Childhood Care and Development, Housing and Disability) </w:t>
      </w:r>
      <w:r w:rsidRPr="009865A0">
        <w:rPr>
          <w:rFonts w:asciiTheme="majorHAnsi" w:hAnsiTheme="majorHAnsi"/>
        </w:rPr>
        <w:t>will enhance implementation and impact.</w:t>
      </w:r>
      <w:r>
        <w:rPr>
          <w:rFonts w:asciiTheme="majorHAnsi" w:hAnsiTheme="majorHAnsi"/>
        </w:rPr>
        <w:t xml:space="preserve">  </w:t>
      </w:r>
    </w:p>
    <w:p w14:paraId="3D776F65" w14:textId="26F8D08C" w:rsidR="005D5FDE" w:rsidRDefault="005D5FDE" w:rsidP="00036CD7">
      <w:pPr>
        <w:pStyle w:val="h2"/>
      </w:pPr>
      <w:bookmarkStart w:id="14" w:name="_Toc79523340"/>
      <w:bookmarkStart w:id="15" w:name="_Toc88818190"/>
      <w:r>
        <w:t>Sector Snapshot: key challenges; relevant data; timeframes</w:t>
      </w:r>
      <w:bookmarkEnd w:id="14"/>
      <w:bookmarkEnd w:id="15"/>
    </w:p>
    <w:p w14:paraId="10DEB882" w14:textId="77777777" w:rsidR="00447DCC" w:rsidRPr="00B37952" w:rsidRDefault="00447DCC" w:rsidP="00447DCC">
      <w:pPr>
        <w:pStyle w:val="ListParagraph"/>
        <w:numPr>
          <w:ilvl w:val="0"/>
          <w:numId w:val="0"/>
        </w:numPr>
        <w:rPr>
          <w:rFonts w:asciiTheme="majorHAnsi" w:hAnsiTheme="majorHAnsi" w:cs="Times New Roman"/>
          <w:highlight w:val="yellow"/>
          <w:lang w:val="en-US"/>
        </w:rPr>
      </w:pPr>
      <w:r w:rsidRPr="00B37952">
        <w:rPr>
          <w:rFonts w:asciiTheme="majorHAnsi" w:hAnsiTheme="majorHAnsi"/>
          <w:iCs/>
        </w:rPr>
        <w:t>The Aboriginal and Torres Strait Islander community-controlled health sector plays a unique service delivery and leadership role in Australia’s health system.</w:t>
      </w:r>
      <w:r>
        <w:rPr>
          <w:rFonts w:asciiTheme="majorHAnsi" w:hAnsiTheme="majorHAnsi"/>
        </w:rPr>
        <w:t xml:space="preserve"> </w:t>
      </w:r>
      <w:r>
        <w:rPr>
          <w:rFonts w:asciiTheme="majorHAnsi" w:hAnsiTheme="majorHAnsi"/>
          <w:lang w:val="en-US"/>
        </w:rPr>
        <w:t xml:space="preserve">This sector </w:t>
      </w:r>
      <w:r w:rsidRPr="00964CEC">
        <w:rPr>
          <w:rFonts w:asciiTheme="majorHAnsi" w:hAnsiTheme="majorHAnsi"/>
          <w:lang w:val="en-US"/>
        </w:rPr>
        <w:t>is st</w:t>
      </w:r>
      <w:r>
        <w:rPr>
          <w:rFonts w:asciiTheme="majorHAnsi" w:hAnsiTheme="majorHAnsi"/>
          <w:lang w:val="en-US"/>
        </w:rPr>
        <w:t>rong, broad and highly-regarded</w:t>
      </w:r>
      <w:r>
        <w:rPr>
          <w:rFonts w:asciiTheme="majorHAnsi" w:hAnsiTheme="majorHAnsi" w:cs="Times New Roman"/>
          <w:lang w:val="en-US"/>
        </w:rPr>
        <w:t xml:space="preserve">. It </w:t>
      </w:r>
      <w:r w:rsidRPr="00964CEC">
        <w:rPr>
          <w:rFonts w:asciiTheme="majorHAnsi" w:hAnsiTheme="majorHAnsi" w:cs="Times New Roman"/>
          <w:lang w:val="en-US"/>
        </w:rPr>
        <w:t xml:space="preserve">encompasses highly engaged Aboriginal and Torres Strait Islander communities, their community-controlled health services and influential community-controlled peak bodies. </w:t>
      </w:r>
    </w:p>
    <w:p w14:paraId="02938561" w14:textId="77777777" w:rsidR="00447DCC" w:rsidRPr="00964CEC" w:rsidRDefault="00447DCC" w:rsidP="00447DCC">
      <w:pPr>
        <w:pStyle w:val="ListParagraph"/>
        <w:numPr>
          <w:ilvl w:val="0"/>
          <w:numId w:val="0"/>
        </w:numPr>
        <w:rPr>
          <w:rFonts w:asciiTheme="majorHAnsi" w:hAnsiTheme="majorHAnsi" w:cs="Times New Roman"/>
        </w:rPr>
      </w:pPr>
      <w:r w:rsidRPr="00964CEC">
        <w:rPr>
          <w:rFonts w:asciiTheme="majorHAnsi" w:hAnsiTheme="majorHAnsi" w:cs="Times New Roman"/>
          <w:lang w:val="en-US"/>
        </w:rPr>
        <w:t xml:space="preserve">Specifically, four workforce sector peak bodies enable, value-add and support the sector namely </w:t>
      </w:r>
      <w:r w:rsidRPr="00964CEC">
        <w:rPr>
          <w:rFonts w:asciiTheme="majorHAnsi" w:hAnsiTheme="majorHAnsi" w:cs="Times New Roman"/>
        </w:rPr>
        <w:t>the Australian Indigenous Doctors Association (AIDA); Congress of Aboriginal and Torres Strait Islander Nurses and Midwives (</w:t>
      </w:r>
      <w:proofErr w:type="spellStart"/>
      <w:r w:rsidRPr="00964CEC">
        <w:rPr>
          <w:rFonts w:asciiTheme="majorHAnsi" w:hAnsiTheme="majorHAnsi" w:cs="Times New Roman"/>
        </w:rPr>
        <w:t>CATSINaM</w:t>
      </w:r>
      <w:proofErr w:type="spellEnd"/>
      <w:r w:rsidRPr="00964CEC">
        <w:rPr>
          <w:rFonts w:asciiTheme="majorHAnsi" w:hAnsiTheme="majorHAnsi" w:cs="Times New Roman"/>
        </w:rPr>
        <w:t xml:space="preserve">); Indigenous Allied Health Australia (IAHA) and National Association for Aboriginal and Torres Strait Islander Health Workers and Practitioners (NAATSIHWP). The sector also includes the </w:t>
      </w:r>
      <w:proofErr w:type="spellStart"/>
      <w:r w:rsidRPr="00964CEC">
        <w:rPr>
          <w:rFonts w:asciiTheme="majorHAnsi" w:hAnsiTheme="majorHAnsi" w:cs="Times New Roman"/>
          <w:lang w:val="en-US"/>
        </w:rPr>
        <w:t>Lowitja</w:t>
      </w:r>
      <w:proofErr w:type="spellEnd"/>
      <w:r w:rsidRPr="00964CEC">
        <w:rPr>
          <w:rFonts w:asciiTheme="majorHAnsi" w:hAnsiTheme="majorHAnsi" w:cs="Times New Roman"/>
          <w:lang w:val="en-US"/>
        </w:rPr>
        <w:t xml:space="preserve"> Institute that </w:t>
      </w:r>
      <w:r w:rsidRPr="00964CEC">
        <w:rPr>
          <w:rFonts w:asciiTheme="majorHAnsi" w:hAnsiTheme="majorHAnsi" w:cs="Times New Roman"/>
        </w:rPr>
        <w:t>works for the health and wellbeing of Aboriginal and Torres Strait Islander peoples through high impact quality research, knowledge translation, and by supporting Aboriginal and Torres Strait Islander health researchers. </w:t>
      </w:r>
    </w:p>
    <w:p w14:paraId="4E6DC00F" w14:textId="71F1D2E5" w:rsidR="00447DCC" w:rsidRDefault="00447DCC" w:rsidP="00447DCC">
      <w:pPr>
        <w:pStyle w:val="ListParagraph"/>
        <w:numPr>
          <w:ilvl w:val="0"/>
          <w:numId w:val="0"/>
        </w:numPr>
        <w:rPr>
          <w:rFonts w:asciiTheme="majorHAnsi" w:hAnsiTheme="majorHAnsi" w:cs="Times New Roman"/>
        </w:rPr>
      </w:pPr>
      <w:r w:rsidRPr="00964CEC">
        <w:rPr>
          <w:rFonts w:asciiTheme="majorHAnsi" w:hAnsiTheme="majorHAnsi" w:cs="Times New Roman"/>
        </w:rPr>
        <w:t>At the frontline of direct service delivery, there are now more than 143 Aboriginal and Torres Strait Islander community-controlled health services (ACCHSs) and more than 500 clinics.</w:t>
      </w:r>
      <w:r w:rsidRPr="00964CEC">
        <w:rPr>
          <w:rFonts w:asciiTheme="majorHAnsi" w:hAnsiTheme="majorHAnsi" w:cs="Times New Roman"/>
          <w:lang w:val="en-US"/>
        </w:rPr>
        <w:t xml:space="preserve"> As a result, the entire Aboriginal and Torres Strait Islander community-controlled health sector holds a unique and valued place in Australia’s health system, implementing models of care and achieving outcomes that others seek to emulate. This includes the introduction of Aboriginal and Torres Strait Islander Health Workers and Health Practitioners as standalone professions. </w:t>
      </w:r>
      <w:r w:rsidRPr="00964CEC">
        <w:rPr>
          <w:rFonts w:asciiTheme="majorHAnsi" w:hAnsiTheme="majorHAnsi" w:cs="Times New Roman"/>
        </w:rPr>
        <w:t xml:space="preserve">This workforce is renowned as a vital and reliable community resource critical to the health and wellbeing of Aboriginal and Torres Strait Islander people. Evidence directly connects their roles to improved health across the life course. </w:t>
      </w:r>
    </w:p>
    <w:p w14:paraId="65349938" w14:textId="3A0C9B66" w:rsidR="00D32469" w:rsidRDefault="003902B1" w:rsidP="003902B1">
      <w:pPr>
        <w:pStyle w:val="ListParagraph"/>
        <w:numPr>
          <w:ilvl w:val="0"/>
          <w:numId w:val="0"/>
        </w:numPr>
        <w:jc w:val="center"/>
        <w:rPr>
          <w:rFonts w:asciiTheme="majorHAnsi" w:hAnsiTheme="majorHAnsi" w:cs="Times New Roman"/>
        </w:rPr>
      </w:pPr>
      <w:r>
        <w:rPr>
          <w:noProof/>
          <w:lang w:val="en-AU" w:eastAsia="en-AU"/>
        </w:rPr>
        <w:drawing>
          <wp:inline distT="0" distB="0" distL="0" distR="0" wp14:anchorId="7F99914A" wp14:editId="40101293">
            <wp:extent cx="4434840" cy="3726180"/>
            <wp:effectExtent l="0" t="0" r="3810" b="7620"/>
            <wp:docPr id="2" name="Picture 2" descr="Aboriginal Community Controlled Health Organisations (ACCHOs). There are 143 ACCHOs throughout Australia.&#10;Image of Australia with pinpoints for all ACCHO locations." title="Aboriginal Community Controlled Health Organisations (ACCHOs). There are 143 ACCHOx throughout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434840" cy="3726180"/>
                    </a:xfrm>
                    <a:prstGeom prst="rect">
                      <a:avLst/>
                    </a:prstGeom>
                    <a:noFill/>
                    <a:ln>
                      <a:noFill/>
                    </a:ln>
                  </pic:spPr>
                </pic:pic>
              </a:graphicData>
            </a:graphic>
          </wp:inline>
        </w:drawing>
      </w:r>
    </w:p>
    <w:p w14:paraId="768788EF" w14:textId="77777777" w:rsidR="00447DCC" w:rsidRPr="00A15BA6" w:rsidRDefault="00447DCC" w:rsidP="00447DCC">
      <w:pPr>
        <w:pStyle w:val="ListParagraph"/>
        <w:numPr>
          <w:ilvl w:val="0"/>
          <w:numId w:val="0"/>
        </w:numPr>
        <w:ind w:right="352"/>
        <w:rPr>
          <w:rFonts w:asciiTheme="majorHAnsi" w:hAnsiTheme="majorHAnsi" w:cs="Times New Roman"/>
        </w:rPr>
      </w:pPr>
      <w:r w:rsidRPr="00964CEC">
        <w:rPr>
          <w:rFonts w:asciiTheme="majorHAnsi" w:hAnsiTheme="majorHAnsi"/>
          <w:lang w:val="en-US"/>
        </w:rPr>
        <w:lastRenderedPageBreak/>
        <w:t xml:space="preserve">This ‘snapshot’ </w:t>
      </w:r>
      <w:r w:rsidRPr="00964CEC">
        <w:rPr>
          <w:rFonts w:asciiTheme="majorHAnsi" w:hAnsiTheme="majorHAnsi" w:cs="Times New Roman"/>
        </w:rPr>
        <w:t>highlights the need across Australia for further improved access to culturally safe public health and clinical health care irrespective of location. Through an integrated approach with the other Sector Strengthening Plans, effective and simultaneous action will also address the critical social determinants of health</w:t>
      </w:r>
      <w:r>
        <w:rPr>
          <w:rFonts w:asciiTheme="majorHAnsi" w:hAnsiTheme="majorHAnsi" w:cs="Times New Roman"/>
        </w:rPr>
        <w:t xml:space="preserve">. </w:t>
      </w:r>
      <w:r w:rsidRPr="00A15BA6">
        <w:rPr>
          <w:rFonts w:asciiTheme="majorHAnsi" w:hAnsiTheme="majorHAnsi" w:cs="Times New Roman"/>
          <w:iCs/>
        </w:rPr>
        <w:t>Addressing the social determinants of health is key to achieving health equity for Aboriginal and Torres Strait Islander people. This approach requires action across a range of areas including, but not limited to, ensuring strong early childhood foundations, education, economic prosperity, opportunity and access to housing that meets building codes and healthy housing standards. The cultural determinants of health are the protective factors that have a direct influence on broader social determinant outcomes. These include connection to Country, family, kinship and community, beliefs and knowledge, cultural expression and continuity, language, self-determination and leadership.</w:t>
      </w:r>
    </w:p>
    <w:p w14:paraId="16640AC5" w14:textId="52C825CA" w:rsidR="00447DCC" w:rsidRPr="00FF7808" w:rsidRDefault="00447DCC" w:rsidP="00447DCC">
      <w:pPr>
        <w:ind w:right="352"/>
        <w:rPr>
          <w:rFonts w:ascii="Calibri Light" w:eastAsia="Calibri Light" w:hAnsi="Calibri Light" w:cs="Calibri Light"/>
        </w:rPr>
      </w:pPr>
      <w:r w:rsidRPr="00055C74">
        <w:rPr>
          <w:rFonts w:asciiTheme="majorHAnsi" w:hAnsiTheme="majorHAnsi"/>
          <w:lang w:val="en-US"/>
        </w:rPr>
        <w:t xml:space="preserve">As described below, </w:t>
      </w:r>
      <w:r w:rsidRPr="00055C74">
        <w:rPr>
          <w:rFonts w:asciiTheme="majorHAnsi" w:hAnsiTheme="majorHAnsi" w:cs="Times New Roman"/>
          <w:lang w:val="en-US"/>
        </w:rPr>
        <w:t>the burden of disease for Aboriginal and Torres Strait Islander peoples is currently 2.3 times that of other Australians (AIHW 2020a).</w:t>
      </w:r>
      <w:r>
        <w:rPr>
          <w:rFonts w:asciiTheme="majorHAnsi" w:hAnsiTheme="majorHAnsi" w:cs="Times New Roman"/>
          <w:lang w:val="en-US"/>
        </w:rPr>
        <w:t xml:space="preserve"> It is</w:t>
      </w:r>
      <w:r w:rsidRPr="00055C74">
        <w:rPr>
          <w:rFonts w:asciiTheme="majorHAnsi" w:hAnsiTheme="majorHAnsi" w:cs="Times New Roman"/>
          <w:lang w:val="en-US"/>
        </w:rPr>
        <w:t xml:space="preserve"> acknowledged </w:t>
      </w:r>
      <w:r>
        <w:rPr>
          <w:rFonts w:asciiTheme="majorHAnsi" w:hAnsiTheme="majorHAnsi" w:cs="Times New Roman"/>
          <w:lang w:val="en-US"/>
        </w:rPr>
        <w:t xml:space="preserve">that the </w:t>
      </w:r>
      <w:r w:rsidRPr="00055C74">
        <w:rPr>
          <w:rFonts w:asciiTheme="majorHAnsi" w:hAnsiTheme="majorHAnsi" w:cs="Times New Roman"/>
          <w:lang w:val="en-US"/>
        </w:rPr>
        <w:t>financial investment in Aboriginal and Torres Strait Islander community-controlled health sector</w:t>
      </w:r>
      <w:r>
        <w:rPr>
          <w:rFonts w:asciiTheme="majorHAnsi" w:hAnsiTheme="majorHAnsi" w:cs="Times New Roman"/>
          <w:lang w:val="en-US"/>
        </w:rPr>
        <w:t xml:space="preserve"> is growing. However,</w:t>
      </w:r>
      <w:r w:rsidRPr="00055C74">
        <w:rPr>
          <w:rFonts w:asciiTheme="majorHAnsi" w:hAnsiTheme="majorHAnsi" w:cs="Times New Roman"/>
          <w:lang w:val="en-US"/>
        </w:rPr>
        <w:t xml:space="preserve"> </w:t>
      </w:r>
      <w:r>
        <w:rPr>
          <w:rFonts w:asciiTheme="majorHAnsi" w:hAnsiTheme="majorHAnsi" w:cs="Times New Roman"/>
          <w:lang w:val="en-US"/>
        </w:rPr>
        <w:t xml:space="preserve">it </w:t>
      </w:r>
      <w:r w:rsidRPr="00055C74">
        <w:rPr>
          <w:rFonts w:asciiTheme="majorHAnsi" w:hAnsiTheme="majorHAnsi" w:cs="Times New Roman"/>
          <w:lang w:val="en-US"/>
        </w:rPr>
        <w:t xml:space="preserve">is </w:t>
      </w:r>
      <w:r>
        <w:rPr>
          <w:rFonts w:asciiTheme="majorHAnsi" w:hAnsiTheme="majorHAnsi" w:cs="Times New Roman"/>
          <w:lang w:val="en-US"/>
        </w:rPr>
        <w:t xml:space="preserve">still </w:t>
      </w:r>
      <w:r w:rsidRPr="00055C74">
        <w:rPr>
          <w:rFonts w:asciiTheme="majorHAnsi" w:hAnsiTheme="majorHAnsi" w:cs="Times New Roman"/>
          <w:lang w:val="en-US"/>
        </w:rPr>
        <w:t>inadequate to meet th</w:t>
      </w:r>
      <w:r>
        <w:rPr>
          <w:rFonts w:asciiTheme="majorHAnsi" w:hAnsiTheme="majorHAnsi" w:cs="Times New Roman"/>
          <w:lang w:val="en-US"/>
        </w:rPr>
        <w:t xml:space="preserve">e </w:t>
      </w:r>
      <w:r w:rsidRPr="00055C74">
        <w:rPr>
          <w:rFonts w:asciiTheme="majorHAnsi" w:hAnsiTheme="majorHAnsi" w:cs="Times New Roman"/>
          <w:lang w:val="en-US"/>
        </w:rPr>
        <w:t xml:space="preserve">need. High rates of preventable </w:t>
      </w:r>
      <w:proofErr w:type="spellStart"/>
      <w:r w:rsidRPr="00055C74">
        <w:rPr>
          <w:rFonts w:asciiTheme="majorHAnsi" w:hAnsiTheme="majorHAnsi" w:cs="Times New Roman"/>
          <w:lang w:val="en-US"/>
        </w:rPr>
        <w:t>hospitalisations</w:t>
      </w:r>
      <w:proofErr w:type="spellEnd"/>
      <w:r w:rsidRPr="00055C74">
        <w:rPr>
          <w:rFonts w:asciiTheme="majorHAnsi" w:hAnsiTheme="majorHAnsi" w:cs="Times New Roman"/>
          <w:lang w:val="en-US"/>
        </w:rPr>
        <w:t xml:space="preserve"> and other downstream health costs place increasing pressures on government budgets. Effective investment in the Aboriginal and Torres Strait Islander community-controlled health sector will </w:t>
      </w:r>
      <w:r>
        <w:rPr>
          <w:rFonts w:asciiTheme="majorHAnsi" w:hAnsiTheme="majorHAnsi" w:cs="Times New Roman"/>
          <w:lang w:val="en-US"/>
        </w:rPr>
        <w:t>assist to overcome</w:t>
      </w:r>
      <w:r w:rsidRPr="00055C74">
        <w:rPr>
          <w:rFonts w:asciiTheme="majorHAnsi" w:hAnsiTheme="majorHAnsi" w:cs="Times New Roman"/>
          <w:lang w:val="en-US"/>
        </w:rPr>
        <w:t xml:space="preserve"> this inefficiency. This Health-SSP provides </w:t>
      </w:r>
      <w:r w:rsidRPr="00964CEC">
        <w:rPr>
          <w:rFonts w:asciiTheme="majorHAnsi" w:hAnsiTheme="majorHAnsi" w:cs="Times New Roman"/>
          <w:lang w:val="en-US"/>
        </w:rPr>
        <w:t xml:space="preserve">a set of priority actions to further strengthen the sector ready </w:t>
      </w:r>
      <w:r w:rsidRPr="00FF7808">
        <w:rPr>
          <w:rFonts w:ascii="Calibri Light" w:eastAsia="Calibri Light" w:hAnsi="Calibri Light" w:cs="Calibri Light"/>
        </w:rPr>
        <w:t xml:space="preserve">to be used including consideration of actions as appropriate for inclusion in future Closing the Gap Implementation Plans, acknowledging that jurisdictions need flexibility in their Implementation Plans to ensure alignment to existing strategic initiatives and policy reform using these existing strong foundations. </w:t>
      </w:r>
    </w:p>
    <w:p w14:paraId="4D2FE491" w14:textId="41C93E99" w:rsidR="00447DCC" w:rsidRDefault="00447DCC" w:rsidP="00C44A6E">
      <w:pPr>
        <w:pStyle w:val="ListParagraph"/>
        <w:numPr>
          <w:ilvl w:val="0"/>
          <w:numId w:val="0"/>
        </w:numPr>
        <w:ind w:right="352"/>
        <w:rPr>
          <w:rFonts w:asciiTheme="majorHAnsi" w:hAnsiTheme="majorHAnsi"/>
          <w:lang w:val="en-US"/>
        </w:rPr>
      </w:pPr>
      <w:r w:rsidRPr="00910B53">
        <w:rPr>
          <w:rFonts w:asciiTheme="majorHAnsi" w:hAnsiTheme="majorHAnsi"/>
          <w:lang w:val="en-US"/>
        </w:rPr>
        <w:t xml:space="preserve">‘Aboriginal and Torres Strait Islander health’ </w:t>
      </w:r>
      <w:r>
        <w:rPr>
          <w:rFonts w:asciiTheme="majorHAnsi" w:hAnsiTheme="majorHAnsi"/>
          <w:lang w:val="en-US"/>
        </w:rPr>
        <w:t xml:space="preserve">is </w:t>
      </w:r>
      <w:r w:rsidRPr="00910B53">
        <w:rPr>
          <w:rFonts w:asciiTheme="majorHAnsi" w:hAnsiTheme="majorHAnsi"/>
          <w:lang w:val="en-US"/>
        </w:rPr>
        <w:t xml:space="preserve">not just the physical wellbeing of an individual but </w:t>
      </w:r>
      <w:r>
        <w:rPr>
          <w:rFonts w:asciiTheme="majorHAnsi" w:hAnsiTheme="majorHAnsi"/>
          <w:lang w:val="en-US"/>
        </w:rPr>
        <w:t>includes</w:t>
      </w:r>
      <w:r w:rsidRPr="00910B53">
        <w:rPr>
          <w:rFonts w:asciiTheme="majorHAnsi" w:hAnsiTheme="majorHAnsi"/>
          <w:lang w:val="en-US"/>
        </w:rPr>
        <w:t xml:space="preserve"> the social, emotional and cultural wellbeing of the whole community</w:t>
      </w:r>
      <w:r>
        <w:rPr>
          <w:rFonts w:asciiTheme="majorHAnsi" w:hAnsiTheme="majorHAnsi"/>
          <w:lang w:val="en-US"/>
        </w:rPr>
        <w:t>. Where</w:t>
      </w:r>
      <w:r w:rsidRPr="00910B53">
        <w:rPr>
          <w:rFonts w:asciiTheme="majorHAnsi" w:hAnsiTheme="majorHAnsi"/>
          <w:lang w:val="en-US"/>
        </w:rPr>
        <w:t xml:space="preserve"> individual</w:t>
      </w:r>
      <w:r>
        <w:rPr>
          <w:rFonts w:asciiTheme="majorHAnsi" w:hAnsiTheme="majorHAnsi"/>
          <w:lang w:val="en-US"/>
        </w:rPr>
        <w:t>s are</w:t>
      </w:r>
      <w:r w:rsidRPr="00910B53">
        <w:rPr>
          <w:rFonts w:asciiTheme="majorHAnsi" w:hAnsiTheme="majorHAnsi"/>
          <w:lang w:val="en-US"/>
        </w:rPr>
        <w:t xml:space="preserve"> able to achieve their full potential as a human being, thereby bringing about the total wellbeing of their community. It is a ‘whole-of-life’ view and includes the cyclical concept of life-death-life.</w:t>
      </w:r>
      <w:r>
        <w:rPr>
          <w:rFonts w:asciiTheme="majorHAnsi" w:hAnsiTheme="majorHAnsi"/>
          <w:lang w:val="en-US"/>
        </w:rPr>
        <w:t xml:space="preserve"> </w:t>
      </w:r>
      <w:r w:rsidRPr="46A5E9C5">
        <w:rPr>
          <w:rFonts w:asciiTheme="majorHAnsi" w:hAnsiTheme="majorHAnsi"/>
          <w:lang w:val="en-US"/>
        </w:rPr>
        <w:t xml:space="preserve">As described in the </w:t>
      </w:r>
      <w:r>
        <w:rPr>
          <w:rFonts w:asciiTheme="majorHAnsi" w:hAnsiTheme="majorHAnsi"/>
          <w:lang w:val="en-US"/>
        </w:rPr>
        <w:t xml:space="preserve">sector’s </w:t>
      </w:r>
      <w:r w:rsidRPr="00FE62A0">
        <w:rPr>
          <w:rFonts w:asciiTheme="majorHAnsi" w:hAnsiTheme="majorHAnsi"/>
          <w:i/>
          <w:lang w:val="en-US"/>
        </w:rPr>
        <w:t>Core Services and Outcomes Framework</w:t>
      </w:r>
      <w:r w:rsidRPr="46A5E9C5">
        <w:rPr>
          <w:rFonts w:asciiTheme="majorHAnsi" w:hAnsiTheme="majorHAnsi"/>
          <w:lang w:val="en-US"/>
        </w:rPr>
        <w:t xml:space="preserve"> (</w:t>
      </w:r>
      <w:r>
        <w:rPr>
          <w:rFonts w:asciiTheme="majorHAnsi" w:hAnsiTheme="majorHAnsi"/>
          <w:lang w:val="en-US"/>
        </w:rPr>
        <w:t xml:space="preserve">NACCHO 2021), </w:t>
      </w:r>
      <w:r w:rsidRPr="46A5E9C5">
        <w:rPr>
          <w:rFonts w:asciiTheme="majorHAnsi" w:hAnsiTheme="majorHAnsi"/>
          <w:lang w:val="en-US"/>
        </w:rPr>
        <w:t xml:space="preserve">community-controlled comprehensive primary </w:t>
      </w:r>
      <w:r>
        <w:rPr>
          <w:rFonts w:asciiTheme="majorHAnsi" w:hAnsiTheme="majorHAnsi"/>
          <w:lang w:val="en-US"/>
        </w:rPr>
        <w:t>health</w:t>
      </w:r>
      <w:r w:rsidRPr="46A5E9C5">
        <w:rPr>
          <w:rFonts w:asciiTheme="majorHAnsi" w:hAnsiTheme="majorHAnsi"/>
          <w:lang w:val="en-US"/>
        </w:rPr>
        <w:t xml:space="preserve"> care integrates culturally safe clinical practice with community-based </w:t>
      </w:r>
      <w:r>
        <w:rPr>
          <w:rFonts w:asciiTheme="majorHAnsi" w:hAnsiTheme="majorHAnsi"/>
          <w:lang w:val="en-US"/>
        </w:rPr>
        <w:t>health</w:t>
      </w:r>
      <w:r w:rsidRPr="46A5E9C5">
        <w:rPr>
          <w:rFonts w:asciiTheme="majorHAnsi" w:hAnsiTheme="majorHAnsi"/>
          <w:lang w:val="en-US"/>
        </w:rPr>
        <w:t xml:space="preserve"> promotion and community development led by local Aboriginal and Torres Strait Islander people. </w:t>
      </w:r>
    </w:p>
    <w:p w14:paraId="202DF92D" w14:textId="77777777" w:rsidR="00447DCC" w:rsidRPr="00153BDB" w:rsidRDefault="00447DCC" w:rsidP="00447DCC">
      <w:pPr>
        <w:pStyle w:val="ListParagraph"/>
        <w:numPr>
          <w:ilvl w:val="0"/>
          <w:numId w:val="0"/>
        </w:numPr>
        <w:ind w:right="352"/>
        <w:rPr>
          <w:rFonts w:asciiTheme="majorHAnsi" w:hAnsiTheme="majorHAnsi"/>
          <w:lang w:val="en-US"/>
        </w:rPr>
      </w:pPr>
      <w:r w:rsidRPr="00F35D09">
        <w:rPr>
          <w:rFonts w:asciiTheme="majorHAnsi" w:hAnsiTheme="majorHAnsi"/>
        </w:rPr>
        <w:t>An A</w:t>
      </w:r>
      <w:r>
        <w:rPr>
          <w:rFonts w:asciiTheme="majorHAnsi" w:hAnsiTheme="majorHAnsi"/>
        </w:rPr>
        <w:t xml:space="preserve">boriginal and Torres Strait Islander community-controlled health service (ACCHS) is a primary health care service initiated and operated by the local Aboriginal and Torres Strait Islander community whose health is directly affected by the scope and quality of its services. </w:t>
      </w:r>
      <w:r w:rsidRPr="00153BDB">
        <w:rPr>
          <w:rFonts w:asciiTheme="majorHAnsi" w:hAnsiTheme="majorHAnsi"/>
          <w:lang w:val="en-US"/>
        </w:rPr>
        <w:t xml:space="preserve">ACCHSs are incorporated entities, must be based in an Aboriginal and/or Torres Strait Islander community, and governed by a majority Aboriginal and/or Torres Strait Islander board which the community elects. The terms Aboriginal Community </w:t>
      </w:r>
      <w:r>
        <w:rPr>
          <w:rFonts w:asciiTheme="majorHAnsi" w:hAnsiTheme="majorHAnsi"/>
          <w:lang w:val="en-US"/>
        </w:rPr>
        <w:t xml:space="preserve">Controlled </w:t>
      </w:r>
      <w:r w:rsidRPr="00153BDB">
        <w:rPr>
          <w:rFonts w:asciiTheme="majorHAnsi" w:hAnsiTheme="majorHAnsi"/>
          <w:lang w:val="en-US"/>
        </w:rPr>
        <w:t xml:space="preserve">Health </w:t>
      </w:r>
      <w:proofErr w:type="spellStart"/>
      <w:r w:rsidRPr="00153BDB">
        <w:rPr>
          <w:rFonts w:asciiTheme="majorHAnsi" w:hAnsiTheme="majorHAnsi"/>
          <w:lang w:val="en-US"/>
        </w:rPr>
        <w:t>Organisation</w:t>
      </w:r>
      <w:proofErr w:type="spellEnd"/>
      <w:r w:rsidRPr="00153BDB">
        <w:rPr>
          <w:rFonts w:asciiTheme="majorHAnsi" w:hAnsiTheme="majorHAnsi"/>
          <w:lang w:val="en-US"/>
        </w:rPr>
        <w:t xml:space="preserve"> (ACCHO) and Aboriginal Medical Service (AMS) are often used interchangeably with ACCHS. In some regions, such as in Victoria, these services are also known more broadly as Aboriginal Community Controlled </w:t>
      </w:r>
      <w:proofErr w:type="spellStart"/>
      <w:r w:rsidRPr="00153BDB">
        <w:rPr>
          <w:rFonts w:asciiTheme="majorHAnsi" w:hAnsiTheme="majorHAnsi"/>
          <w:lang w:val="en-US"/>
        </w:rPr>
        <w:t>Organisations</w:t>
      </w:r>
      <w:proofErr w:type="spellEnd"/>
      <w:r w:rsidRPr="00153BDB">
        <w:rPr>
          <w:rFonts w:asciiTheme="majorHAnsi" w:hAnsiTheme="majorHAnsi"/>
          <w:lang w:val="en-US"/>
        </w:rPr>
        <w:t xml:space="preserve"> (ACCO). While this Health-SSP will use the abbreviation ‘ACCHS’, this is intended to be inclusive of services across the community controlled health sector. </w:t>
      </w:r>
    </w:p>
    <w:p w14:paraId="6E9397AE" w14:textId="71B853CA" w:rsidR="00447DCC" w:rsidRPr="00447DCC" w:rsidRDefault="00447DCC" w:rsidP="00447DCC">
      <w:pPr>
        <w:pStyle w:val="ListParagraph"/>
        <w:numPr>
          <w:ilvl w:val="0"/>
          <w:numId w:val="0"/>
        </w:numPr>
        <w:ind w:right="352"/>
        <w:rPr>
          <w:rFonts w:asciiTheme="majorHAnsi" w:hAnsiTheme="majorHAnsi"/>
        </w:rPr>
      </w:pPr>
      <w:r w:rsidRPr="46A5E9C5">
        <w:rPr>
          <w:rFonts w:asciiTheme="majorHAnsi" w:hAnsiTheme="majorHAnsi"/>
          <w:lang w:val="en-US"/>
        </w:rPr>
        <w:t>Through their community-elected boards, communities set priorities, identify strategies and</w:t>
      </w:r>
      <w:r>
        <w:rPr>
          <w:rFonts w:asciiTheme="majorHAnsi" w:hAnsiTheme="majorHAnsi"/>
          <w:lang w:val="en-US"/>
        </w:rPr>
        <w:t xml:space="preserve"> hold their own health service to account. In 2019-</w:t>
      </w:r>
      <w:r w:rsidRPr="00153BDB">
        <w:rPr>
          <w:rFonts w:asciiTheme="majorHAnsi" w:hAnsiTheme="majorHAnsi"/>
          <w:lang w:val="en-US"/>
        </w:rPr>
        <w:t>20, ACCHSs provided three million episodes of care per year for about 380,800 people across Australia. More than 923,000 episodes of care were provided to Aboriginal and Torres Strait Islander people in remote and very remote regions (AIHW 2021). Aboriginal</w:t>
      </w:r>
      <w:r w:rsidRPr="46A5E9C5">
        <w:rPr>
          <w:rFonts w:asciiTheme="majorHAnsi" w:hAnsiTheme="majorHAnsi"/>
          <w:lang w:val="en-US"/>
        </w:rPr>
        <w:t xml:space="preserve"> and Torres Strait Islander-led service delivery models are valued and held in high </w:t>
      </w:r>
      <w:r w:rsidRPr="46A5E9C5">
        <w:rPr>
          <w:rFonts w:asciiTheme="majorHAnsi" w:hAnsiTheme="majorHAnsi"/>
          <w:lang w:val="en-US"/>
        </w:rPr>
        <w:lastRenderedPageBreak/>
        <w:t xml:space="preserve">regard. Evidence shows that when Aboriginal and Torres Strait Islander people have culturally safe, appropriate primary </w:t>
      </w:r>
      <w:r>
        <w:rPr>
          <w:rFonts w:asciiTheme="majorHAnsi" w:hAnsiTheme="majorHAnsi"/>
          <w:lang w:val="en-US"/>
        </w:rPr>
        <w:t>health</w:t>
      </w:r>
      <w:r w:rsidRPr="46A5E9C5">
        <w:rPr>
          <w:rFonts w:asciiTheme="majorHAnsi" w:hAnsiTheme="majorHAnsi"/>
          <w:lang w:val="en-US"/>
        </w:rPr>
        <w:t xml:space="preserve"> care, they have better </w:t>
      </w:r>
      <w:r>
        <w:rPr>
          <w:rFonts w:asciiTheme="majorHAnsi" w:hAnsiTheme="majorHAnsi"/>
          <w:lang w:val="en-US"/>
        </w:rPr>
        <w:t>health</w:t>
      </w:r>
      <w:r w:rsidRPr="46A5E9C5">
        <w:rPr>
          <w:rFonts w:asciiTheme="majorHAnsi" w:hAnsiTheme="majorHAnsi"/>
          <w:lang w:val="en-US"/>
        </w:rPr>
        <w:t xml:space="preserve"> outcomes.</w:t>
      </w:r>
    </w:p>
    <w:p w14:paraId="2F2ECECB" w14:textId="77777777" w:rsidR="00447DCC" w:rsidRDefault="00447DCC" w:rsidP="00447DCC">
      <w:pPr>
        <w:pStyle w:val="ListParagraph"/>
        <w:numPr>
          <w:ilvl w:val="0"/>
          <w:numId w:val="0"/>
        </w:numPr>
        <w:ind w:right="352"/>
        <w:rPr>
          <w:rFonts w:asciiTheme="majorHAnsi" w:hAnsiTheme="majorHAnsi"/>
          <w:lang w:val="en-US"/>
        </w:rPr>
      </w:pPr>
      <w:r w:rsidRPr="761D4DBD">
        <w:rPr>
          <w:rFonts w:asciiTheme="majorHAnsi" w:hAnsiTheme="majorHAnsi"/>
          <w:lang w:val="en-US"/>
        </w:rPr>
        <w:t xml:space="preserve">The first Aboriginal community controlled primary </w:t>
      </w:r>
      <w:r>
        <w:rPr>
          <w:rFonts w:asciiTheme="majorHAnsi" w:hAnsiTheme="majorHAnsi"/>
          <w:lang w:val="en-US"/>
        </w:rPr>
        <w:t>health</w:t>
      </w:r>
      <w:r w:rsidRPr="761D4DBD">
        <w:rPr>
          <w:rFonts w:asciiTheme="majorHAnsi" w:hAnsiTheme="majorHAnsi"/>
          <w:lang w:val="en-US"/>
        </w:rPr>
        <w:t xml:space="preserve"> care service</w:t>
      </w:r>
      <w:r>
        <w:rPr>
          <w:rFonts w:asciiTheme="majorHAnsi" w:hAnsiTheme="majorHAnsi"/>
          <w:lang w:val="en-US"/>
        </w:rPr>
        <w:t>, Redfern Aboriginal Medical Service,</w:t>
      </w:r>
      <w:r w:rsidRPr="761D4DBD">
        <w:rPr>
          <w:rFonts w:asciiTheme="majorHAnsi" w:hAnsiTheme="majorHAnsi"/>
          <w:lang w:val="en-US"/>
        </w:rPr>
        <w:t xml:space="preserve"> opened in Sydney in 1971. This sector has 50 years of collective experience, setting many benchmarks in service delivery, clinical outcomes and population </w:t>
      </w:r>
      <w:r>
        <w:rPr>
          <w:rFonts w:asciiTheme="majorHAnsi" w:hAnsiTheme="majorHAnsi"/>
          <w:lang w:val="en-US"/>
        </w:rPr>
        <w:t xml:space="preserve">health. </w:t>
      </w:r>
      <w:r>
        <w:rPr>
          <w:rFonts w:asciiTheme="majorHAnsi" w:hAnsiTheme="majorHAnsi"/>
        </w:rPr>
        <w:t xml:space="preserve">The </w:t>
      </w:r>
      <w:r w:rsidRPr="761D4DBD">
        <w:rPr>
          <w:rFonts w:asciiTheme="majorHAnsi" w:hAnsiTheme="majorHAnsi"/>
          <w:lang w:val="en-US"/>
        </w:rPr>
        <w:t xml:space="preserve">Aboriginal and Torres Strait Islander community-controlled </w:t>
      </w:r>
      <w:r>
        <w:rPr>
          <w:rFonts w:asciiTheme="majorHAnsi" w:hAnsiTheme="majorHAnsi"/>
          <w:lang w:val="en-US"/>
        </w:rPr>
        <w:t>health</w:t>
      </w:r>
      <w:r w:rsidRPr="761D4DBD">
        <w:rPr>
          <w:rFonts w:asciiTheme="majorHAnsi" w:hAnsiTheme="majorHAnsi"/>
          <w:lang w:val="en-US"/>
        </w:rPr>
        <w:t xml:space="preserve"> sector has a proud history</w:t>
      </w:r>
      <w:r>
        <w:rPr>
          <w:rFonts w:asciiTheme="majorHAnsi" w:hAnsiTheme="majorHAnsi"/>
          <w:lang w:val="en-US"/>
        </w:rPr>
        <w:t xml:space="preserve"> of accomplishments</w:t>
      </w:r>
      <w:r w:rsidRPr="761D4DBD">
        <w:rPr>
          <w:rFonts w:asciiTheme="majorHAnsi" w:hAnsiTheme="majorHAnsi"/>
          <w:lang w:val="en-US"/>
        </w:rPr>
        <w:t xml:space="preserve">. </w:t>
      </w:r>
      <w:r>
        <w:rPr>
          <w:rFonts w:asciiTheme="majorHAnsi" w:hAnsiTheme="majorHAnsi"/>
          <w:lang w:val="en-US"/>
        </w:rPr>
        <w:t>Its</w:t>
      </w:r>
      <w:r w:rsidRPr="761D4DBD">
        <w:rPr>
          <w:rFonts w:asciiTheme="majorHAnsi" w:hAnsiTheme="majorHAnsi"/>
          <w:lang w:val="en-US"/>
        </w:rPr>
        <w:t xml:space="preserve"> </w:t>
      </w:r>
      <w:r>
        <w:rPr>
          <w:rFonts w:asciiTheme="majorHAnsi" w:hAnsiTheme="majorHAnsi"/>
          <w:lang w:val="en-US"/>
        </w:rPr>
        <w:t xml:space="preserve">broader </w:t>
      </w:r>
      <w:r w:rsidRPr="761D4DBD">
        <w:rPr>
          <w:rFonts w:asciiTheme="majorHAnsi" w:hAnsiTheme="majorHAnsi"/>
          <w:lang w:val="en-US"/>
        </w:rPr>
        <w:t xml:space="preserve">achievements in promoting and protecting the </w:t>
      </w:r>
      <w:r>
        <w:rPr>
          <w:rFonts w:asciiTheme="majorHAnsi" w:hAnsiTheme="majorHAnsi"/>
          <w:lang w:val="en-US"/>
        </w:rPr>
        <w:t>health</w:t>
      </w:r>
      <w:r w:rsidRPr="761D4DBD">
        <w:rPr>
          <w:rFonts w:asciiTheme="majorHAnsi" w:hAnsiTheme="majorHAnsi"/>
          <w:lang w:val="en-US"/>
        </w:rPr>
        <w:t xml:space="preserve"> and wellbeing of Aboriginal and Torres Strait Islander peoples in the face of significant challenges are incalculable.</w:t>
      </w:r>
      <w:r w:rsidRPr="761D4DBD">
        <w:rPr>
          <w:rFonts w:asciiTheme="majorHAnsi" w:eastAsia="Times New Roman" w:hAnsiTheme="majorHAnsi" w:cs="Times New Roman"/>
        </w:rPr>
        <w:t xml:space="preserve"> </w:t>
      </w:r>
      <w:r>
        <w:rPr>
          <w:rFonts w:asciiTheme="majorHAnsi" w:hAnsiTheme="majorHAnsi"/>
        </w:rPr>
        <w:t xml:space="preserve"> </w:t>
      </w:r>
    </w:p>
    <w:p w14:paraId="5FC35064" w14:textId="46BE37C7" w:rsidR="00447DCC" w:rsidRPr="00B37952" w:rsidRDefault="00447DCC" w:rsidP="001174D1">
      <w:pPr>
        <w:pStyle w:val="ListParagraph"/>
        <w:numPr>
          <w:ilvl w:val="0"/>
          <w:numId w:val="0"/>
        </w:numPr>
        <w:ind w:right="352"/>
        <w:rPr>
          <w:rFonts w:asciiTheme="majorHAnsi" w:hAnsiTheme="majorHAnsi"/>
        </w:rPr>
      </w:pPr>
      <w:r w:rsidRPr="00B37952">
        <w:rPr>
          <w:rFonts w:asciiTheme="majorHAnsi" w:hAnsiTheme="majorHAnsi"/>
          <w:iCs/>
        </w:rPr>
        <w:t>At the national level, NACCHO plays a critical role as the leadership body for its member ACCHS. NACCHO influences policymaking through strategic partnerships with government and the mainstream health sector. It advocates for culturally safe and responsive ca</w:t>
      </w:r>
      <w:r>
        <w:rPr>
          <w:rFonts w:asciiTheme="majorHAnsi" w:hAnsiTheme="majorHAnsi"/>
          <w:iCs/>
        </w:rPr>
        <w:t>re</w:t>
      </w:r>
      <w:r w:rsidRPr="00B37952">
        <w:rPr>
          <w:rFonts w:asciiTheme="majorHAnsi" w:hAnsiTheme="majorHAnsi"/>
          <w:iCs/>
        </w:rPr>
        <w:t xml:space="preserve"> developed by the community;</w:t>
      </w:r>
      <w:r w:rsidRPr="00B37952">
        <w:rPr>
          <w:rFonts w:asciiTheme="majorHAnsi" w:hAnsiTheme="majorHAnsi"/>
        </w:rPr>
        <w:t xml:space="preserve"> </w:t>
      </w:r>
      <w:r w:rsidRPr="00B37952">
        <w:rPr>
          <w:rFonts w:asciiTheme="majorHAnsi" w:hAnsiTheme="majorHAnsi"/>
          <w:iCs/>
        </w:rPr>
        <w:t>Aboriginal and Torres Strait Islander decision-making</w:t>
      </w:r>
      <w:r w:rsidRPr="00B37952">
        <w:rPr>
          <w:rFonts w:asciiTheme="majorHAnsi" w:hAnsiTheme="majorHAnsi"/>
        </w:rPr>
        <w:t xml:space="preserve"> and </w:t>
      </w:r>
      <w:r w:rsidRPr="00B37952">
        <w:rPr>
          <w:rFonts w:asciiTheme="majorHAnsi" w:hAnsiTheme="majorHAnsi"/>
          <w:iCs/>
        </w:rPr>
        <w:t>prioritisation of health care through ACCHSs.</w:t>
      </w:r>
      <w:r w:rsidRPr="00B37952">
        <w:rPr>
          <w:rFonts w:asciiTheme="majorHAnsi" w:hAnsiTheme="majorHAnsi"/>
        </w:rPr>
        <w:t xml:space="preserve"> NACCHO also has a long history, stretching back to a meeting in Albury in 1974.  NACCHO’s work is expansive including:</w:t>
      </w:r>
    </w:p>
    <w:p w14:paraId="62EFFF91" w14:textId="77777777" w:rsidR="00447DCC" w:rsidRPr="00B37952" w:rsidRDefault="00447DCC" w:rsidP="00447DCC">
      <w:pPr>
        <w:pStyle w:val="ListParagraph"/>
        <w:numPr>
          <w:ilvl w:val="0"/>
          <w:numId w:val="33"/>
        </w:numPr>
        <w:spacing w:before="0"/>
        <w:ind w:right="352"/>
        <w:contextualSpacing/>
        <w:rPr>
          <w:rFonts w:asciiTheme="majorHAnsi" w:hAnsiTheme="majorHAnsi"/>
        </w:rPr>
      </w:pPr>
      <w:r w:rsidRPr="00B37952">
        <w:rPr>
          <w:rFonts w:asciiTheme="majorHAnsi" w:hAnsiTheme="majorHAnsi"/>
        </w:rPr>
        <w:t xml:space="preserve">support for structural reform to achieve shared decision-making, </w:t>
      </w:r>
    </w:p>
    <w:p w14:paraId="2C2C4574" w14:textId="77777777" w:rsidR="00447DCC" w:rsidRPr="00B37952" w:rsidRDefault="00447DCC" w:rsidP="00447DCC">
      <w:pPr>
        <w:pStyle w:val="ListParagraph"/>
        <w:numPr>
          <w:ilvl w:val="0"/>
          <w:numId w:val="33"/>
        </w:numPr>
        <w:spacing w:before="0"/>
        <w:ind w:right="352"/>
        <w:contextualSpacing/>
        <w:rPr>
          <w:rFonts w:asciiTheme="majorHAnsi" w:hAnsiTheme="majorHAnsi"/>
        </w:rPr>
      </w:pPr>
      <w:r w:rsidRPr="00B37952">
        <w:rPr>
          <w:rFonts w:asciiTheme="majorHAnsi" w:hAnsiTheme="majorHAnsi"/>
        </w:rPr>
        <w:t xml:space="preserve">support for its members and other organisations on health and wellbeing policy and planning, </w:t>
      </w:r>
    </w:p>
    <w:p w14:paraId="39713C92" w14:textId="77777777" w:rsidR="00447DCC" w:rsidRPr="00B37952" w:rsidRDefault="00447DCC" w:rsidP="00447DCC">
      <w:pPr>
        <w:pStyle w:val="ListParagraph"/>
        <w:numPr>
          <w:ilvl w:val="0"/>
          <w:numId w:val="33"/>
        </w:numPr>
        <w:spacing w:before="0"/>
        <w:ind w:right="352"/>
        <w:contextualSpacing/>
        <w:rPr>
          <w:rFonts w:asciiTheme="majorHAnsi" w:hAnsiTheme="majorHAnsi"/>
        </w:rPr>
      </w:pPr>
      <w:r w:rsidRPr="00B37952">
        <w:rPr>
          <w:rFonts w:asciiTheme="majorHAnsi" w:hAnsiTheme="majorHAnsi"/>
        </w:rPr>
        <w:t>the provision of expert advice relating to health service delivery; and</w:t>
      </w:r>
    </w:p>
    <w:p w14:paraId="482D872D" w14:textId="77777777" w:rsidR="00447DCC" w:rsidRPr="00B37952" w:rsidRDefault="00447DCC" w:rsidP="00447DCC">
      <w:pPr>
        <w:pStyle w:val="ListParagraph"/>
        <w:numPr>
          <w:ilvl w:val="0"/>
          <w:numId w:val="33"/>
        </w:numPr>
        <w:spacing w:before="0"/>
        <w:ind w:right="352"/>
        <w:contextualSpacing/>
        <w:rPr>
          <w:rFonts w:asciiTheme="majorHAnsi" w:hAnsiTheme="majorHAnsi"/>
        </w:rPr>
      </w:pPr>
      <w:r w:rsidRPr="00B37952">
        <w:rPr>
          <w:rFonts w:asciiTheme="majorHAnsi" w:hAnsiTheme="majorHAnsi"/>
        </w:rPr>
        <w:t xml:space="preserve"> more broadly, health information, research, public health, financing and health programs.  </w:t>
      </w:r>
    </w:p>
    <w:p w14:paraId="0435FDCB" w14:textId="77777777" w:rsidR="00E5532F" w:rsidRDefault="00E5532F" w:rsidP="00E5532F">
      <w:pPr>
        <w:pStyle w:val="ListParagraph"/>
        <w:numPr>
          <w:ilvl w:val="0"/>
          <w:numId w:val="0"/>
        </w:numPr>
        <w:spacing w:before="0"/>
        <w:ind w:left="770" w:right="352"/>
        <w:contextualSpacing/>
        <w:rPr>
          <w:rFonts w:asciiTheme="majorHAnsi" w:hAnsiTheme="majorHAnsi"/>
        </w:rPr>
      </w:pPr>
    </w:p>
    <w:p w14:paraId="47B7C673" w14:textId="77777777" w:rsidR="001174D1" w:rsidRDefault="001174D1" w:rsidP="001174D1">
      <w:pPr>
        <w:pStyle w:val="ListParagraph"/>
        <w:numPr>
          <w:ilvl w:val="0"/>
          <w:numId w:val="0"/>
        </w:numPr>
        <w:ind w:right="352"/>
        <w:rPr>
          <w:rFonts w:asciiTheme="majorHAnsi" w:hAnsiTheme="majorHAnsi"/>
        </w:rPr>
      </w:pPr>
      <w:r>
        <w:rPr>
          <w:rFonts w:asciiTheme="majorHAnsi" w:hAnsiTheme="majorHAnsi"/>
          <w:iCs/>
        </w:rPr>
        <w:t>Eight s</w:t>
      </w:r>
      <w:r w:rsidRPr="00B37952">
        <w:rPr>
          <w:rFonts w:asciiTheme="majorHAnsi" w:hAnsiTheme="majorHAnsi"/>
          <w:iCs/>
        </w:rPr>
        <w:t xml:space="preserve">tate and territory </w:t>
      </w:r>
      <w:r>
        <w:rPr>
          <w:rFonts w:asciiTheme="majorHAnsi" w:hAnsiTheme="majorHAnsi"/>
          <w:iCs/>
        </w:rPr>
        <w:t>Sector Support Organisations</w:t>
      </w:r>
      <w:r w:rsidRPr="00B37952">
        <w:rPr>
          <w:rFonts w:asciiTheme="majorHAnsi" w:hAnsiTheme="majorHAnsi"/>
          <w:iCs/>
        </w:rPr>
        <w:t xml:space="preserve"> also represent ACCHSs and support sector development in their jurisdictions. </w:t>
      </w:r>
      <w:r>
        <w:rPr>
          <w:rFonts w:asciiTheme="majorHAnsi" w:hAnsiTheme="majorHAnsi"/>
          <w:iCs/>
        </w:rPr>
        <w:t xml:space="preserve">These </w:t>
      </w:r>
      <w:r w:rsidRPr="00B37952">
        <w:rPr>
          <w:rFonts w:asciiTheme="majorHAnsi" w:hAnsiTheme="majorHAnsi"/>
          <w:iCs/>
        </w:rPr>
        <w:t>play a pivotal role in health system leadership and partnership across each state and territory.</w:t>
      </w:r>
      <w:r>
        <w:rPr>
          <w:rFonts w:asciiTheme="majorHAnsi" w:hAnsiTheme="majorHAnsi"/>
        </w:rPr>
        <w:t xml:space="preserve"> They</w:t>
      </w:r>
      <w:r w:rsidRPr="00C93936">
        <w:rPr>
          <w:rFonts w:asciiTheme="majorHAnsi" w:hAnsiTheme="majorHAnsi"/>
        </w:rPr>
        <w:t xml:space="preserve"> offer a wide range of coordination and support to their members including advocacy, governance including the emergence of sector self-regulatory frameworks and the delivery of state, territory and national primary health care policies. </w:t>
      </w:r>
    </w:p>
    <w:p w14:paraId="422F17EB" w14:textId="0A6EA989" w:rsidR="001174D1" w:rsidRPr="00C93936" w:rsidRDefault="001174D1" w:rsidP="001174D1">
      <w:pPr>
        <w:ind w:right="352"/>
        <w:rPr>
          <w:rFonts w:asciiTheme="majorHAnsi" w:hAnsiTheme="majorHAnsi"/>
        </w:rPr>
      </w:pPr>
      <w:r w:rsidRPr="00964CEC">
        <w:rPr>
          <w:rFonts w:asciiTheme="majorHAnsi" w:hAnsiTheme="majorHAnsi"/>
        </w:rPr>
        <w:t xml:space="preserve">Through effective partnerships and co-design, examples of innovative collaborations with the Australian, state and territory governments are already underway in response to jurisdictional priorities such as co-designed COVID-19 pandemic responses, service commissioning, outcomes-based funding, preferred provider status for the sector and substantial workforce initiatives. With appropriate flexibility and responsiveness, these activities can support sector-strengthening activities considered in the Health-SSP. </w:t>
      </w:r>
    </w:p>
    <w:p w14:paraId="3DDA24FD" w14:textId="526A90E2" w:rsidR="001174D1" w:rsidRDefault="001174D1" w:rsidP="001174D1">
      <w:pPr>
        <w:pStyle w:val="ListParagraph"/>
        <w:numPr>
          <w:ilvl w:val="0"/>
          <w:numId w:val="0"/>
        </w:numPr>
        <w:ind w:right="352"/>
        <w:rPr>
          <w:rFonts w:asciiTheme="majorHAnsi" w:hAnsiTheme="majorHAnsi"/>
        </w:rPr>
      </w:pPr>
      <w:r>
        <w:rPr>
          <w:rFonts w:asciiTheme="majorHAnsi" w:hAnsiTheme="majorHAnsi"/>
        </w:rPr>
        <w:t>ACCHS</w:t>
      </w:r>
      <w:r w:rsidRPr="00A67762">
        <w:rPr>
          <w:rFonts w:asciiTheme="majorHAnsi" w:hAnsiTheme="majorHAnsi"/>
        </w:rPr>
        <w:t>s</w:t>
      </w:r>
      <w:r w:rsidRPr="0055420D">
        <w:rPr>
          <w:rFonts w:asciiTheme="majorHAnsi" w:hAnsiTheme="majorHAnsi"/>
        </w:rPr>
        <w:t xml:space="preserve"> </w:t>
      </w:r>
      <w:r>
        <w:rPr>
          <w:rFonts w:asciiTheme="majorHAnsi" w:hAnsiTheme="majorHAnsi"/>
        </w:rPr>
        <w:t>can be large</w:t>
      </w:r>
      <w:r w:rsidRPr="0055420D">
        <w:rPr>
          <w:rFonts w:asciiTheme="majorHAnsi" w:hAnsiTheme="majorHAnsi"/>
        </w:rPr>
        <w:t xml:space="preserve"> multi-functiona</w:t>
      </w:r>
      <w:r>
        <w:rPr>
          <w:rFonts w:asciiTheme="majorHAnsi" w:hAnsiTheme="majorHAnsi"/>
        </w:rPr>
        <w:t>l services employing many</w:t>
      </w:r>
      <w:r w:rsidRPr="0055420D">
        <w:rPr>
          <w:rFonts w:asciiTheme="majorHAnsi" w:hAnsiTheme="majorHAnsi"/>
        </w:rPr>
        <w:t xml:space="preserve"> medical </w:t>
      </w:r>
      <w:r>
        <w:rPr>
          <w:rFonts w:asciiTheme="majorHAnsi" w:hAnsiTheme="majorHAnsi"/>
        </w:rPr>
        <w:t xml:space="preserve">and other health professionals including Aboriginal and Torres Strait Islander Health Workers and Health Practitioners, </w:t>
      </w:r>
      <w:r w:rsidRPr="0055420D">
        <w:rPr>
          <w:rFonts w:asciiTheme="majorHAnsi" w:hAnsiTheme="majorHAnsi"/>
        </w:rPr>
        <w:t>providing a wide range of services</w:t>
      </w:r>
      <w:r>
        <w:rPr>
          <w:rFonts w:asciiTheme="majorHAnsi" w:hAnsiTheme="majorHAnsi"/>
        </w:rPr>
        <w:t>. ACCHSs can also be</w:t>
      </w:r>
      <w:r w:rsidRPr="0055420D">
        <w:rPr>
          <w:rFonts w:asciiTheme="majorHAnsi" w:hAnsiTheme="majorHAnsi"/>
        </w:rPr>
        <w:t xml:space="preserve"> small services which rely on Aboriginal </w:t>
      </w:r>
      <w:r>
        <w:rPr>
          <w:rFonts w:asciiTheme="majorHAnsi" w:hAnsiTheme="majorHAnsi"/>
        </w:rPr>
        <w:t>and Torres Strait Islander Health</w:t>
      </w:r>
      <w:r w:rsidRPr="0055420D">
        <w:rPr>
          <w:rFonts w:asciiTheme="majorHAnsi" w:hAnsiTheme="majorHAnsi"/>
        </w:rPr>
        <w:t xml:space="preserve"> Workers/Practitioners and/or nurses to provide the bulk of prim</w:t>
      </w:r>
      <w:r>
        <w:rPr>
          <w:rFonts w:asciiTheme="majorHAnsi" w:hAnsiTheme="majorHAnsi"/>
        </w:rPr>
        <w:t>ary care services, prioritising prevention, and health education</w:t>
      </w:r>
      <w:r w:rsidRPr="0055420D">
        <w:rPr>
          <w:rFonts w:asciiTheme="majorHAnsi" w:hAnsiTheme="majorHAnsi"/>
        </w:rPr>
        <w:t xml:space="preserve">. </w:t>
      </w:r>
      <w:r>
        <w:rPr>
          <w:rFonts w:asciiTheme="majorHAnsi" w:hAnsiTheme="majorHAnsi"/>
          <w:lang w:val="en-US"/>
        </w:rPr>
        <w:t>Collectively, the sector</w:t>
      </w:r>
      <w:r w:rsidRPr="00A67762">
        <w:rPr>
          <w:rFonts w:asciiTheme="majorHAnsi" w:hAnsiTheme="majorHAnsi"/>
          <w:lang w:val="en-US"/>
        </w:rPr>
        <w:t xml:space="preserve"> employ</w:t>
      </w:r>
      <w:r>
        <w:rPr>
          <w:rFonts w:asciiTheme="majorHAnsi" w:hAnsiTheme="majorHAnsi"/>
          <w:lang w:val="en-US"/>
        </w:rPr>
        <w:t>s about 7</w:t>
      </w:r>
      <w:r w:rsidRPr="00A67762">
        <w:rPr>
          <w:rFonts w:asciiTheme="majorHAnsi" w:hAnsiTheme="majorHAnsi"/>
          <w:lang w:val="en-US"/>
        </w:rPr>
        <w:t>000 staff, 54 per cent o</w:t>
      </w:r>
      <w:r>
        <w:rPr>
          <w:rFonts w:asciiTheme="majorHAnsi" w:hAnsiTheme="majorHAnsi"/>
          <w:lang w:val="en-US"/>
        </w:rPr>
        <w:t>f whom are Indigenous, making it</w:t>
      </w:r>
      <w:r w:rsidRPr="00A67762">
        <w:rPr>
          <w:rFonts w:asciiTheme="majorHAnsi" w:hAnsiTheme="majorHAnsi"/>
          <w:lang w:val="en-US"/>
        </w:rPr>
        <w:t xml:space="preserve"> the </w:t>
      </w:r>
      <w:r>
        <w:rPr>
          <w:rFonts w:asciiTheme="majorHAnsi" w:hAnsiTheme="majorHAnsi"/>
          <w:lang w:val="en-US"/>
        </w:rPr>
        <w:t xml:space="preserve">third </w:t>
      </w:r>
      <w:r w:rsidRPr="00A67762">
        <w:rPr>
          <w:rFonts w:asciiTheme="majorHAnsi" w:hAnsiTheme="majorHAnsi"/>
          <w:lang w:val="en-US"/>
        </w:rPr>
        <w:t>largest employer of Aboriginal and Torres Strait Islander people in the country</w:t>
      </w:r>
      <w:r>
        <w:rPr>
          <w:rFonts w:asciiTheme="majorHAnsi" w:hAnsiTheme="majorHAnsi"/>
          <w:lang w:val="en-US"/>
        </w:rPr>
        <w:t xml:space="preserve"> (AIHW 2021; Coles </w:t>
      </w:r>
      <w:proofErr w:type="spellStart"/>
      <w:r>
        <w:rPr>
          <w:rFonts w:asciiTheme="majorHAnsi" w:hAnsiTheme="majorHAnsi"/>
          <w:lang w:val="en-US"/>
        </w:rPr>
        <w:t>n.d</w:t>
      </w:r>
      <w:proofErr w:type="spellEnd"/>
      <w:r>
        <w:rPr>
          <w:rFonts w:asciiTheme="majorHAnsi" w:hAnsiTheme="majorHAnsi"/>
          <w:lang w:val="en-US"/>
        </w:rPr>
        <w:t>; Woolworths Group Limited 2021).</w:t>
      </w:r>
      <w:r w:rsidRPr="0055420D">
        <w:rPr>
          <w:rFonts w:asciiTheme="majorHAnsi" w:hAnsiTheme="majorHAnsi"/>
        </w:rPr>
        <w:t xml:space="preserve"> </w:t>
      </w:r>
    </w:p>
    <w:p w14:paraId="3406F0E9" w14:textId="42CBE488" w:rsidR="001174D1" w:rsidRPr="001174D1" w:rsidRDefault="001174D1" w:rsidP="001174D1">
      <w:pPr>
        <w:pStyle w:val="ListParagraph"/>
        <w:numPr>
          <w:ilvl w:val="0"/>
          <w:numId w:val="0"/>
        </w:numPr>
        <w:ind w:right="352"/>
        <w:rPr>
          <w:rFonts w:asciiTheme="majorHAnsi" w:hAnsiTheme="majorHAnsi"/>
          <w:lang w:val="en-US"/>
        </w:rPr>
      </w:pPr>
      <w:r w:rsidRPr="761D4DBD">
        <w:rPr>
          <w:rFonts w:asciiTheme="majorHAnsi" w:hAnsiTheme="majorHAnsi"/>
          <w:lang w:val="en-US"/>
        </w:rPr>
        <w:lastRenderedPageBreak/>
        <w:t xml:space="preserve">NACCHO, </w:t>
      </w:r>
      <w:r>
        <w:rPr>
          <w:rFonts w:asciiTheme="majorHAnsi" w:hAnsiTheme="majorHAnsi"/>
          <w:lang w:val="en-US"/>
        </w:rPr>
        <w:t xml:space="preserve">Sector Support </w:t>
      </w:r>
      <w:proofErr w:type="spellStart"/>
      <w:r>
        <w:rPr>
          <w:rFonts w:asciiTheme="majorHAnsi" w:hAnsiTheme="majorHAnsi"/>
          <w:lang w:val="en-US"/>
        </w:rPr>
        <w:t>Organisations</w:t>
      </w:r>
      <w:proofErr w:type="spellEnd"/>
      <w:r>
        <w:rPr>
          <w:rFonts w:asciiTheme="majorHAnsi" w:hAnsiTheme="majorHAnsi"/>
          <w:lang w:val="en-US"/>
        </w:rPr>
        <w:t xml:space="preserve"> </w:t>
      </w:r>
      <w:r w:rsidRPr="761D4DBD">
        <w:rPr>
          <w:rFonts w:asciiTheme="majorHAnsi" w:hAnsiTheme="majorHAnsi"/>
          <w:lang w:val="en-US"/>
        </w:rPr>
        <w:t xml:space="preserve">and member services have worked collaboratively with governments, stakeholders and representatives from other community-controlled </w:t>
      </w:r>
      <w:r>
        <w:rPr>
          <w:rFonts w:asciiTheme="majorHAnsi" w:hAnsiTheme="majorHAnsi"/>
          <w:lang w:val="en-US"/>
        </w:rPr>
        <w:t>health</w:t>
      </w:r>
      <w:r w:rsidRPr="761D4DBD">
        <w:rPr>
          <w:rFonts w:asciiTheme="majorHAnsi" w:hAnsiTheme="majorHAnsi"/>
          <w:lang w:val="en-US"/>
        </w:rPr>
        <w:t xml:space="preserve"> </w:t>
      </w:r>
      <w:proofErr w:type="spellStart"/>
      <w:r w:rsidRPr="761D4DBD">
        <w:rPr>
          <w:rFonts w:asciiTheme="majorHAnsi" w:hAnsiTheme="majorHAnsi"/>
          <w:lang w:val="en-US"/>
        </w:rPr>
        <w:t>organisations</w:t>
      </w:r>
      <w:proofErr w:type="spellEnd"/>
      <w:r w:rsidRPr="761D4DBD">
        <w:rPr>
          <w:rFonts w:asciiTheme="majorHAnsi" w:hAnsiTheme="majorHAnsi"/>
          <w:lang w:val="en-US"/>
        </w:rPr>
        <w:t xml:space="preserve"> to develop a common vision:</w:t>
      </w:r>
    </w:p>
    <w:p w14:paraId="0954F9E2" w14:textId="77777777" w:rsidR="001174D1" w:rsidRPr="009D121F" w:rsidRDefault="001174D1" w:rsidP="001174D1">
      <w:pPr>
        <w:pStyle w:val="ListParagraph"/>
        <w:numPr>
          <w:ilvl w:val="0"/>
          <w:numId w:val="0"/>
        </w:numPr>
        <w:ind w:right="352"/>
        <w:jc w:val="center"/>
        <w:rPr>
          <w:rFonts w:asciiTheme="majorHAnsi" w:hAnsiTheme="majorHAnsi"/>
          <w:i/>
          <w:iCs/>
          <w:lang w:val="en-US"/>
        </w:rPr>
      </w:pPr>
      <w:r w:rsidRPr="00AB08AC">
        <w:rPr>
          <w:rStyle w:val="IntenseQuoteChar"/>
        </w:rPr>
        <w:t>Aboriginal and Torres Strait Islander people enjoy long, healthy lives centred in culture, with access to services that are prevention focused, culturally safe and responsive, equitable and free of racism</w:t>
      </w:r>
      <w:r w:rsidRPr="761D4DBD">
        <w:rPr>
          <w:rFonts w:asciiTheme="majorHAnsi" w:hAnsiTheme="majorHAnsi"/>
          <w:i/>
          <w:iCs/>
          <w:lang w:val="en-US"/>
        </w:rPr>
        <w:t>.</w:t>
      </w:r>
    </w:p>
    <w:p w14:paraId="13B94CBB" w14:textId="1D463DFB" w:rsidR="001174D1" w:rsidRPr="002D2CE0" w:rsidRDefault="001174D1" w:rsidP="002D2CE0">
      <w:pPr>
        <w:pStyle w:val="ListParagraph"/>
        <w:numPr>
          <w:ilvl w:val="0"/>
          <w:numId w:val="0"/>
        </w:numPr>
        <w:ind w:right="352"/>
        <w:rPr>
          <w:rFonts w:asciiTheme="majorHAnsi" w:hAnsiTheme="majorHAnsi"/>
          <w:lang w:val="en-US"/>
        </w:rPr>
      </w:pPr>
      <w:r w:rsidRPr="00301D65">
        <w:rPr>
          <w:rFonts w:asciiTheme="majorHAnsi" w:hAnsiTheme="majorHAnsi"/>
          <w:lang w:val="en-US"/>
        </w:rPr>
        <w:t>This vision provides a unifying direction for policy and program alignment in the</w:t>
      </w:r>
      <w:r>
        <w:rPr>
          <w:rFonts w:asciiTheme="majorHAnsi" w:hAnsiTheme="majorHAnsi"/>
          <w:lang w:val="en-US"/>
        </w:rPr>
        <w:t xml:space="preserve"> </w:t>
      </w:r>
      <w:r w:rsidRPr="0062142B">
        <w:rPr>
          <w:rFonts w:asciiTheme="majorHAnsi" w:hAnsiTheme="majorHAnsi"/>
          <w:i/>
          <w:lang w:val="en-US"/>
        </w:rPr>
        <w:t>National Aboriginal and Torres Strait Islander Health Plan 2021–2031</w:t>
      </w:r>
      <w:r w:rsidRPr="008C2777">
        <w:rPr>
          <w:rFonts w:asciiTheme="majorHAnsi" w:hAnsiTheme="majorHAnsi"/>
          <w:lang w:val="en-US"/>
        </w:rPr>
        <w:t xml:space="preserve"> and the </w:t>
      </w:r>
      <w:r w:rsidRPr="0062142B">
        <w:rPr>
          <w:rFonts w:asciiTheme="majorHAnsi" w:hAnsiTheme="majorHAnsi"/>
          <w:i/>
          <w:lang w:val="en-US"/>
        </w:rPr>
        <w:t>National Aboriginal and Torres Strait Islander Health Workforce Strategic Framework and Implementation Plan 2021–2031</w:t>
      </w:r>
      <w:r>
        <w:rPr>
          <w:rFonts w:asciiTheme="majorHAnsi" w:hAnsiTheme="majorHAnsi"/>
          <w:lang w:val="en-US"/>
        </w:rPr>
        <w:t xml:space="preserve"> under development </w:t>
      </w:r>
      <w:r w:rsidRPr="00C64337">
        <w:rPr>
          <w:rFonts w:asciiTheme="majorHAnsi" w:hAnsiTheme="majorHAnsi"/>
          <w:lang w:val="en-US"/>
        </w:rPr>
        <w:t xml:space="preserve">(as at </w:t>
      </w:r>
      <w:r>
        <w:rPr>
          <w:rFonts w:asciiTheme="majorHAnsi" w:hAnsiTheme="majorHAnsi"/>
          <w:lang w:val="en-US"/>
        </w:rPr>
        <w:t xml:space="preserve">November </w:t>
      </w:r>
      <w:r w:rsidRPr="00C64337">
        <w:rPr>
          <w:rFonts w:asciiTheme="majorHAnsi" w:hAnsiTheme="majorHAnsi"/>
          <w:lang w:val="en-US"/>
        </w:rPr>
        <w:t xml:space="preserve">2021). </w:t>
      </w:r>
      <w:r>
        <w:rPr>
          <w:rFonts w:asciiTheme="majorHAnsi" w:hAnsiTheme="majorHAnsi"/>
          <w:lang w:val="en-US"/>
        </w:rPr>
        <w:t xml:space="preserve">Both of these plans were written in partnership in line with the National Agreement. </w:t>
      </w:r>
      <w:r w:rsidRPr="00C64337">
        <w:rPr>
          <w:rFonts w:asciiTheme="majorHAnsi" w:hAnsiTheme="majorHAnsi" w:cstheme="majorBidi"/>
          <w:lang w:val="en-US"/>
        </w:rPr>
        <w:t>Available baseline data have been shared with the sector. As shown</w:t>
      </w:r>
      <w:r w:rsidRPr="00E102EF">
        <w:rPr>
          <w:rFonts w:asciiTheme="majorHAnsi" w:hAnsiTheme="majorHAnsi" w:cstheme="majorBidi"/>
          <w:lang w:val="en-US"/>
        </w:rPr>
        <w:t xml:space="preserve"> in Productivity Commission’s July 2021 Closing the Gap Annual Data Compilation:</w:t>
      </w:r>
    </w:p>
    <w:p w14:paraId="46C162E5" w14:textId="77777777" w:rsidR="001174D1" w:rsidRPr="00055C74" w:rsidRDefault="001174D1" w:rsidP="001174D1">
      <w:pPr>
        <w:pStyle w:val="ListParagraph"/>
        <w:numPr>
          <w:ilvl w:val="0"/>
          <w:numId w:val="34"/>
        </w:numPr>
        <w:spacing w:before="0"/>
        <w:ind w:right="352"/>
        <w:contextualSpacing/>
        <w:rPr>
          <w:rFonts w:asciiTheme="majorHAnsi" w:hAnsiTheme="majorHAnsi" w:cstheme="majorBidi"/>
          <w:lang w:val="en-US"/>
        </w:rPr>
      </w:pPr>
      <w:r w:rsidRPr="00055C74">
        <w:rPr>
          <w:rFonts w:asciiTheme="majorHAnsi" w:hAnsiTheme="majorHAnsi" w:cstheme="majorBidi"/>
          <w:lang w:val="en-US"/>
        </w:rPr>
        <w:t>life expectancy targets for Aboriginal and Torres Strait Islander men and women have increased from baseline year but neither are on target against trajectory</w:t>
      </w:r>
    </w:p>
    <w:p w14:paraId="03FBD78B" w14:textId="77777777" w:rsidR="001174D1" w:rsidRPr="00055C74" w:rsidRDefault="001174D1" w:rsidP="001174D1">
      <w:pPr>
        <w:pStyle w:val="ListParagraph"/>
        <w:numPr>
          <w:ilvl w:val="0"/>
          <w:numId w:val="34"/>
        </w:numPr>
        <w:spacing w:before="0"/>
        <w:ind w:right="352"/>
        <w:contextualSpacing/>
        <w:rPr>
          <w:rFonts w:asciiTheme="majorHAnsi" w:hAnsiTheme="majorHAnsi" w:cstheme="majorBidi"/>
          <w:lang w:val="en-US"/>
        </w:rPr>
      </w:pPr>
      <w:r w:rsidRPr="00055C74">
        <w:rPr>
          <w:rFonts w:asciiTheme="majorHAnsi" w:hAnsiTheme="majorHAnsi" w:cstheme="majorBidi"/>
          <w:lang w:val="en-US"/>
        </w:rPr>
        <w:t>healthy birthweight target is on track to be met subject to caveats</w:t>
      </w:r>
    </w:p>
    <w:p w14:paraId="6F8895A2" w14:textId="77777777" w:rsidR="001174D1" w:rsidRPr="00055C74" w:rsidRDefault="001174D1" w:rsidP="001174D1">
      <w:pPr>
        <w:pStyle w:val="ListParagraph"/>
        <w:numPr>
          <w:ilvl w:val="0"/>
          <w:numId w:val="34"/>
        </w:numPr>
        <w:spacing w:before="0"/>
        <w:ind w:right="352"/>
        <w:contextualSpacing/>
        <w:rPr>
          <w:rFonts w:asciiTheme="majorHAnsi" w:hAnsiTheme="majorHAnsi" w:cstheme="majorBidi"/>
          <w:lang w:val="en-US"/>
        </w:rPr>
      </w:pPr>
      <w:r w:rsidRPr="00055C74">
        <w:rPr>
          <w:rFonts w:asciiTheme="majorHAnsi" w:hAnsiTheme="majorHAnsi" w:cstheme="majorBidi"/>
          <w:lang w:val="en-US"/>
        </w:rPr>
        <w:t>51 percent of the Aboriginal and Torres Strait Islander population is employed</w:t>
      </w:r>
    </w:p>
    <w:p w14:paraId="17860FAC" w14:textId="0ED1AF7E" w:rsidR="001174D1" w:rsidRPr="002D2CE0" w:rsidRDefault="001174D1" w:rsidP="00BB4589">
      <w:pPr>
        <w:pStyle w:val="ListParagraph"/>
        <w:numPr>
          <w:ilvl w:val="0"/>
          <w:numId w:val="34"/>
        </w:numPr>
        <w:spacing w:before="0"/>
        <w:ind w:right="352"/>
        <w:contextualSpacing/>
        <w:rPr>
          <w:rFonts w:asciiTheme="majorHAnsi" w:hAnsiTheme="majorHAnsi" w:cstheme="majorBidi"/>
          <w:lang w:val="en-US"/>
        </w:rPr>
      </w:pPr>
      <w:r w:rsidRPr="00055C74">
        <w:rPr>
          <w:rFonts w:asciiTheme="majorHAnsi" w:hAnsiTheme="majorHAnsi" w:cstheme="majorBidi"/>
          <w:lang w:val="en-US"/>
        </w:rPr>
        <w:t>79 percent of Aboriginal and Torres Strait Islander people live in appropriately sized housing although 145,340 live in overcrowded dwellings (PC 2021).</w:t>
      </w:r>
    </w:p>
    <w:p w14:paraId="077A3AF0" w14:textId="1AEAC52F" w:rsidR="001174D1" w:rsidRDefault="001174D1" w:rsidP="00BB4589">
      <w:pPr>
        <w:ind w:right="352"/>
        <w:rPr>
          <w:rFonts w:asciiTheme="majorHAnsi" w:hAnsiTheme="majorHAnsi" w:cstheme="majorBidi"/>
          <w:lang w:val="en-US"/>
        </w:rPr>
      </w:pPr>
      <w:r w:rsidRPr="00964CEC">
        <w:rPr>
          <w:rFonts w:asciiTheme="majorHAnsi" w:hAnsiTheme="majorHAnsi" w:cstheme="majorBidi"/>
          <w:lang w:val="en-US"/>
        </w:rPr>
        <w:t>While the absolute gap in burden of disease between Aboriginal and Torres Strait Islander peoples and non-Indigenous peoples in Australia decreased between 2003 and 2018,</w:t>
      </w:r>
      <w:r w:rsidRPr="00964CEC">
        <w:rPr>
          <w:rFonts w:ascii="Times Roman" w:hAnsi="Times Roman" w:cs="Times Roman"/>
          <w:color w:val="000000"/>
          <w:sz w:val="29"/>
          <w:szCs w:val="29"/>
          <w:lang w:val="en-US"/>
        </w:rPr>
        <w:t xml:space="preserve"> </w:t>
      </w:r>
      <w:r w:rsidRPr="00964CEC">
        <w:rPr>
          <w:rFonts w:asciiTheme="majorHAnsi" w:hAnsiTheme="majorHAnsi" w:cstheme="majorBidi"/>
          <w:lang w:val="en-US"/>
        </w:rPr>
        <w:t xml:space="preserve">the gap in non-fatal burden increased by 6.6% over this period (AIHW 2021a). </w:t>
      </w:r>
    </w:p>
    <w:p w14:paraId="4CD13A29" w14:textId="6CE7FB4B" w:rsidR="001174D1" w:rsidRPr="00E102EF" w:rsidRDefault="001174D1" w:rsidP="001174D1">
      <w:pPr>
        <w:ind w:right="352"/>
        <w:rPr>
          <w:rFonts w:asciiTheme="majorHAnsi" w:hAnsiTheme="majorHAnsi" w:cstheme="majorBidi"/>
        </w:rPr>
      </w:pPr>
      <w:r w:rsidRPr="00964CEC">
        <w:rPr>
          <w:rFonts w:asciiTheme="majorHAnsi" w:hAnsiTheme="majorHAnsi" w:cstheme="majorBidi"/>
          <w:lang w:val="en-US"/>
        </w:rPr>
        <w:t xml:space="preserve">The Australian Institute of Health and Welfare (AIHW) also produces online reports about </w:t>
      </w:r>
      <w:r w:rsidRPr="00964CEC">
        <w:rPr>
          <w:rFonts w:asciiTheme="majorHAnsi" w:hAnsiTheme="majorHAnsi" w:cstheme="majorBidi"/>
        </w:rPr>
        <w:t>key trends in process and outcome indicators using data from the Indigenous Australians’ Health Programme (IAHP) funds</w:t>
      </w:r>
      <w:r>
        <w:rPr>
          <w:rFonts w:asciiTheme="majorHAnsi" w:hAnsiTheme="majorHAnsi" w:cstheme="majorBidi"/>
        </w:rPr>
        <w:t xml:space="preserve"> to Indigenous-specific services. In </w:t>
      </w:r>
      <w:r w:rsidRPr="00E102EF">
        <w:rPr>
          <w:rFonts w:asciiTheme="majorHAnsi" w:hAnsiTheme="majorHAnsi" w:cstheme="majorBidi"/>
          <w:lang w:val="en-US"/>
        </w:rPr>
        <w:t>July 2021</w:t>
      </w:r>
      <w:r>
        <w:rPr>
          <w:rFonts w:asciiTheme="majorHAnsi" w:hAnsiTheme="majorHAnsi" w:cstheme="majorBidi"/>
          <w:lang w:val="en-US"/>
        </w:rPr>
        <w:t>,</w:t>
      </w:r>
      <w:r w:rsidRPr="00E102EF">
        <w:rPr>
          <w:rFonts w:asciiTheme="majorHAnsi" w:hAnsiTheme="majorHAnsi" w:cstheme="majorBidi"/>
          <w:lang w:val="en-US"/>
        </w:rPr>
        <w:t xml:space="preserve"> </w:t>
      </w:r>
      <w:r>
        <w:rPr>
          <w:rFonts w:asciiTheme="majorHAnsi" w:hAnsiTheme="majorHAnsi" w:cstheme="majorBidi"/>
          <w:lang w:val="en-US"/>
        </w:rPr>
        <w:t xml:space="preserve">its </w:t>
      </w:r>
      <w:r w:rsidRPr="00E102EF">
        <w:rPr>
          <w:rFonts w:asciiTheme="majorHAnsi" w:hAnsiTheme="majorHAnsi" w:cstheme="majorBidi"/>
          <w:lang w:val="en-US"/>
        </w:rPr>
        <w:t>online report</w:t>
      </w:r>
      <w:r>
        <w:rPr>
          <w:rFonts w:asciiTheme="majorHAnsi" w:hAnsiTheme="majorHAnsi" w:cstheme="majorBidi"/>
          <w:lang w:val="en-US"/>
        </w:rPr>
        <w:t xml:space="preserve"> showed that: </w:t>
      </w:r>
    </w:p>
    <w:p w14:paraId="11B10559" w14:textId="77777777" w:rsidR="001174D1" w:rsidRPr="00E102EF" w:rsidRDefault="001174D1" w:rsidP="001174D1">
      <w:pPr>
        <w:pStyle w:val="ListParagraph"/>
        <w:numPr>
          <w:ilvl w:val="0"/>
          <w:numId w:val="35"/>
        </w:numPr>
        <w:spacing w:before="0"/>
        <w:ind w:right="352"/>
        <w:contextualSpacing/>
        <w:rPr>
          <w:rFonts w:asciiTheme="majorHAnsi" w:hAnsiTheme="majorHAnsi" w:cstheme="majorBidi"/>
        </w:rPr>
      </w:pPr>
      <w:r w:rsidRPr="00E102EF">
        <w:rPr>
          <w:rFonts w:asciiTheme="majorHAnsi" w:hAnsiTheme="majorHAnsi" w:cstheme="majorBidi"/>
        </w:rPr>
        <w:t xml:space="preserve">five out of six maternal and child </w:t>
      </w:r>
      <w:r>
        <w:rPr>
          <w:rFonts w:asciiTheme="majorHAnsi" w:hAnsiTheme="majorHAnsi" w:cstheme="majorBidi"/>
        </w:rPr>
        <w:t>h</w:t>
      </w:r>
      <w:r w:rsidRPr="00E102EF">
        <w:rPr>
          <w:rFonts w:asciiTheme="majorHAnsi" w:hAnsiTheme="majorHAnsi" w:cstheme="majorBidi"/>
        </w:rPr>
        <w:t>ealth indicators have improved</w:t>
      </w:r>
    </w:p>
    <w:p w14:paraId="4F26E1A0" w14:textId="77777777" w:rsidR="001174D1" w:rsidRPr="00E102EF" w:rsidRDefault="001174D1" w:rsidP="001174D1">
      <w:pPr>
        <w:pStyle w:val="ListParagraph"/>
        <w:numPr>
          <w:ilvl w:val="0"/>
          <w:numId w:val="35"/>
        </w:numPr>
        <w:spacing w:before="0"/>
        <w:ind w:right="352"/>
        <w:contextualSpacing/>
        <w:rPr>
          <w:rFonts w:asciiTheme="majorHAnsi" w:hAnsiTheme="majorHAnsi" w:cstheme="majorBidi"/>
        </w:rPr>
      </w:pPr>
      <w:r w:rsidRPr="00E102EF">
        <w:rPr>
          <w:rFonts w:asciiTheme="majorHAnsi" w:hAnsiTheme="majorHAnsi" w:cstheme="majorBidi"/>
        </w:rPr>
        <w:t xml:space="preserve">six out of ten individual preventive </w:t>
      </w:r>
      <w:r>
        <w:rPr>
          <w:rFonts w:asciiTheme="majorHAnsi" w:hAnsiTheme="majorHAnsi" w:cstheme="majorBidi"/>
        </w:rPr>
        <w:t>h</w:t>
      </w:r>
      <w:r w:rsidRPr="00E102EF">
        <w:rPr>
          <w:rFonts w:asciiTheme="majorHAnsi" w:hAnsiTheme="majorHAnsi" w:cstheme="majorBidi"/>
        </w:rPr>
        <w:t>ealth factors have improved</w:t>
      </w:r>
    </w:p>
    <w:p w14:paraId="21AA9D1B" w14:textId="77777777" w:rsidR="001174D1" w:rsidRPr="00E102EF" w:rsidRDefault="001174D1" w:rsidP="001174D1">
      <w:pPr>
        <w:pStyle w:val="ListParagraph"/>
        <w:numPr>
          <w:ilvl w:val="0"/>
          <w:numId w:val="35"/>
        </w:numPr>
        <w:spacing w:before="0"/>
        <w:ind w:right="352"/>
        <w:contextualSpacing/>
        <w:rPr>
          <w:rFonts w:asciiTheme="majorHAnsi" w:hAnsiTheme="majorHAnsi" w:cstheme="majorBidi"/>
        </w:rPr>
      </w:pPr>
      <w:r w:rsidRPr="00E102EF">
        <w:rPr>
          <w:rFonts w:asciiTheme="majorHAnsi" w:hAnsiTheme="majorHAnsi" w:cstheme="majorBidi"/>
        </w:rPr>
        <w:t>n</w:t>
      </w:r>
      <w:r>
        <w:rPr>
          <w:rFonts w:asciiTheme="majorHAnsi" w:hAnsiTheme="majorHAnsi" w:cstheme="majorBidi"/>
        </w:rPr>
        <w:t>ine out of 13</w:t>
      </w:r>
      <w:r w:rsidRPr="00E102EF">
        <w:rPr>
          <w:rFonts w:asciiTheme="majorHAnsi" w:hAnsiTheme="majorHAnsi" w:cstheme="majorBidi"/>
        </w:rPr>
        <w:t xml:space="preserve"> chronic disease management indicators have improved</w:t>
      </w:r>
      <w:r>
        <w:rPr>
          <w:rFonts w:asciiTheme="majorHAnsi" w:hAnsiTheme="majorHAnsi" w:cstheme="majorBidi"/>
        </w:rPr>
        <w:t xml:space="preserve"> (AIHW 2021b)</w:t>
      </w:r>
      <w:r w:rsidRPr="00E102EF">
        <w:rPr>
          <w:rFonts w:asciiTheme="majorHAnsi" w:hAnsiTheme="majorHAnsi" w:cstheme="majorBidi"/>
        </w:rPr>
        <w:t xml:space="preserve">. </w:t>
      </w:r>
    </w:p>
    <w:p w14:paraId="12938165" w14:textId="2AC48B6B" w:rsidR="001174D1" w:rsidRPr="001174D1" w:rsidRDefault="001174D1" w:rsidP="001174D1">
      <w:pPr>
        <w:ind w:right="352"/>
        <w:rPr>
          <w:rFonts w:asciiTheme="majorHAnsi" w:hAnsiTheme="majorHAnsi"/>
          <w:lang w:val="en-US"/>
        </w:rPr>
      </w:pPr>
      <w:r w:rsidRPr="001174D1">
        <w:rPr>
          <w:rFonts w:asciiTheme="majorHAnsi" w:hAnsiTheme="majorHAnsi"/>
          <w:lang w:val="en-US"/>
        </w:rPr>
        <w:t xml:space="preserve">The sector’s model of primary health care integrates health promotion, community development and social action with clinical services and individual health care including health care for Aboriginal and Torres Strait Islander people with disabilities (NACCHO 2021). Up to half of Australia’s Aboriginal and Torres Strait Islander people go to a community controlled primary health care service when seeking front-line health care for both acute problems and chronic disease management. </w:t>
      </w:r>
    </w:p>
    <w:p w14:paraId="536EBE0A" w14:textId="3411B165" w:rsidR="00BB4589" w:rsidRPr="00B9580D" w:rsidRDefault="001174D1" w:rsidP="00B9580D">
      <w:pPr>
        <w:ind w:right="352"/>
        <w:rPr>
          <w:rFonts w:asciiTheme="majorHAnsi" w:hAnsiTheme="majorHAnsi"/>
          <w:lang w:val="en-US"/>
        </w:rPr>
      </w:pPr>
      <w:r>
        <w:rPr>
          <w:rFonts w:asciiTheme="majorHAnsi" w:hAnsiTheme="majorHAnsi"/>
          <w:lang w:val="en-US"/>
        </w:rPr>
        <w:t>The</w:t>
      </w:r>
      <w:r w:rsidRPr="00C64337">
        <w:rPr>
          <w:rFonts w:asciiTheme="majorHAnsi" w:hAnsiTheme="majorHAnsi" w:cstheme="majorBidi"/>
          <w:lang w:val="en-US"/>
        </w:rPr>
        <w:t xml:space="preserve"> sector’s longevity, connectedness and resilience enabled the strong and proactive response to the COVID-19 </w:t>
      </w:r>
      <w:r w:rsidRPr="006D5F96">
        <w:rPr>
          <w:rFonts w:asciiTheme="majorHAnsi" w:hAnsiTheme="majorHAnsi" w:cstheme="majorBidi"/>
          <w:lang w:val="en-US"/>
        </w:rPr>
        <w:t xml:space="preserve">pandemic in the face of considerable vaccine hesitancy. </w:t>
      </w:r>
      <w:bookmarkStart w:id="16" w:name="_Hlk86069511"/>
      <w:r>
        <w:rPr>
          <w:rFonts w:asciiTheme="majorHAnsi" w:hAnsiTheme="majorHAnsi"/>
          <w:lang w:val="en-US"/>
        </w:rPr>
        <w:t>R</w:t>
      </w:r>
      <w:r w:rsidRPr="00C64337">
        <w:rPr>
          <w:rFonts w:asciiTheme="majorHAnsi" w:hAnsiTheme="majorHAnsi"/>
          <w:lang w:val="en-US"/>
        </w:rPr>
        <w:t xml:space="preserve">ecognition </w:t>
      </w:r>
      <w:r>
        <w:rPr>
          <w:rFonts w:asciiTheme="majorHAnsi" w:hAnsiTheme="majorHAnsi"/>
          <w:lang w:val="en-US"/>
        </w:rPr>
        <w:t xml:space="preserve">of the importance of the </w:t>
      </w:r>
      <w:r w:rsidRPr="00153BDB">
        <w:rPr>
          <w:rFonts w:asciiTheme="majorHAnsi" w:hAnsiTheme="majorHAnsi"/>
          <w:lang w:val="en-US"/>
        </w:rPr>
        <w:t xml:space="preserve">sector by the Prime Minister and National Cabinet </w:t>
      </w:r>
      <w:r>
        <w:rPr>
          <w:rFonts w:asciiTheme="majorHAnsi" w:hAnsiTheme="majorHAnsi"/>
          <w:lang w:val="en-US"/>
        </w:rPr>
        <w:t xml:space="preserve">was a significant enabler to Australia’s national response. </w:t>
      </w:r>
      <w:bookmarkEnd w:id="16"/>
      <w:r w:rsidRPr="00C64337">
        <w:rPr>
          <w:rFonts w:asciiTheme="majorHAnsi" w:hAnsiTheme="majorHAnsi"/>
          <w:lang w:val="en-US"/>
        </w:rPr>
        <w:t xml:space="preserve">Critical to success </w:t>
      </w:r>
      <w:r>
        <w:rPr>
          <w:rFonts w:asciiTheme="majorHAnsi" w:hAnsiTheme="majorHAnsi"/>
          <w:lang w:val="en-US"/>
        </w:rPr>
        <w:t xml:space="preserve">in the COVID-19 response </w:t>
      </w:r>
      <w:r w:rsidRPr="00C64337">
        <w:rPr>
          <w:rFonts w:asciiTheme="majorHAnsi" w:hAnsiTheme="majorHAnsi"/>
          <w:lang w:val="en-US"/>
        </w:rPr>
        <w:t>was the allocation of funds in a way that allowed fl</w:t>
      </w:r>
      <w:r>
        <w:rPr>
          <w:rFonts w:asciiTheme="majorHAnsi" w:hAnsiTheme="majorHAnsi"/>
          <w:lang w:val="en-US"/>
        </w:rPr>
        <w:t xml:space="preserve">exibility, which enabled </w:t>
      </w:r>
      <w:r w:rsidRPr="00C64337">
        <w:rPr>
          <w:rFonts w:asciiTheme="majorHAnsi" w:hAnsiTheme="majorHAnsi"/>
          <w:lang w:val="en-US"/>
        </w:rPr>
        <w:t xml:space="preserve">programs </w:t>
      </w:r>
      <w:r>
        <w:rPr>
          <w:rFonts w:asciiTheme="majorHAnsi" w:hAnsiTheme="majorHAnsi"/>
          <w:lang w:val="en-US"/>
        </w:rPr>
        <w:t xml:space="preserve">and initiatives on the ground </w:t>
      </w:r>
      <w:r w:rsidRPr="00C64337">
        <w:rPr>
          <w:rFonts w:asciiTheme="majorHAnsi" w:hAnsiTheme="majorHAnsi"/>
          <w:lang w:val="en-US"/>
        </w:rPr>
        <w:t>to be designed to meet the needs of the community at the local level.</w:t>
      </w:r>
    </w:p>
    <w:p w14:paraId="3DC3A471" w14:textId="6B00E3F4" w:rsidR="001174D1" w:rsidRPr="00C64337" w:rsidRDefault="001174D1" w:rsidP="001174D1">
      <w:pPr>
        <w:ind w:right="352"/>
        <w:rPr>
          <w:rFonts w:asciiTheme="majorHAnsi" w:hAnsiTheme="majorHAnsi"/>
          <w:lang w:val="en-US"/>
        </w:rPr>
      </w:pPr>
      <w:r w:rsidRPr="00C64337">
        <w:rPr>
          <w:rFonts w:asciiTheme="majorHAnsi" w:hAnsiTheme="majorHAnsi"/>
          <w:lang w:val="en-US"/>
        </w:rPr>
        <w:t>This Health</w:t>
      </w:r>
      <w:r>
        <w:rPr>
          <w:rFonts w:asciiTheme="majorHAnsi" w:hAnsiTheme="majorHAnsi"/>
          <w:lang w:val="en-US"/>
        </w:rPr>
        <w:t>-</w:t>
      </w:r>
      <w:r w:rsidRPr="00C64337">
        <w:rPr>
          <w:rFonts w:asciiTheme="majorHAnsi" w:hAnsiTheme="majorHAnsi"/>
          <w:lang w:val="en-US"/>
        </w:rPr>
        <w:t xml:space="preserve">SSP acknowledges and responds to the scope of key challenges for the sector. As exemplified during the COVID-19 pandemic response, an equal partnership between the sector </w:t>
      </w:r>
      <w:r w:rsidRPr="00C64337">
        <w:rPr>
          <w:rFonts w:asciiTheme="majorHAnsi" w:hAnsiTheme="majorHAnsi"/>
          <w:lang w:val="en-US"/>
        </w:rPr>
        <w:lastRenderedPageBreak/>
        <w:t xml:space="preserve">and </w:t>
      </w:r>
      <w:r>
        <w:rPr>
          <w:rFonts w:asciiTheme="majorHAnsi" w:hAnsiTheme="majorHAnsi"/>
          <w:lang w:val="en-US"/>
        </w:rPr>
        <w:t>g</w:t>
      </w:r>
      <w:r w:rsidRPr="00C64337">
        <w:rPr>
          <w:rFonts w:asciiTheme="majorHAnsi" w:hAnsiTheme="majorHAnsi"/>
          <w:lang w:val="en-US"/>
        </w:rPr>
        <w:t>overnments must continue if Australia is to reduce the burden of disease for Aboriginal and</w:t>
      </w:r>
      <w:r>
        <w:rPr>
          <w:rFonts w:asciiTheme="majorHAnsi" w:hAnsiTheme="majorHAnsi"/>
          <w:lang w:val="en-US"/>
        </w:rPr>
        <w:t xml:space="preserve"> Torres Strait Islander peoples, currently </w:t>
      </w:r>
      <w:r w:rsidRPr="00C64337">
        <w:rPr>
          <w:rFonts w:asciiTheme="majorHAnsi" w:hAnsiTheme="majorHAnsi"/>
          <w:lang w:val="en-US"/>
        </w:rPr>
        <w:t xml:space="preserve">2.3 times that of other Australians </w:t>
      </w:r>
      <w:r>
        <w:rPr>
          <w:rFonts w:asciiTheme="majorHAnsi" w:hAnsiTheme="majorHAnsi"/>
          <w:lang w:val="en-US"/>
        </w:rPr>
        <w:t xml:space="preserve">(AIHW 2020a). </w:t>
      </w:r>
      <w:r w:rsidRPr="00C64337">
        <w:rPr>
          <w:rFonts w:asciiTheme="majorHAnsi" w:hAnsiTheme="majorHAnsi"/>
          <w:lang w:val="en-US"/>
        </w:rPr>
        <w:t>Cancer is now the leading cause of death for Aboriginal and Torres Strait Island</w:t>
      </w:r>
      <w:r>
        <w:rPr>
          <w:rFonts w:asciiTheme="majorHAnsi" w:hAnsiTheme="majorHAnsi"/>
          <w:lang w:val="en-US"/>
        </w:rPr>
        <w:t>er people</w:t>
      </w:r>
      <w:r w:rsidRPr="00C64337">
        <w:rPr>
          <w:rFonts w:asciiTheme="majorHAnsi" w:hAnsiTheme="majorHAnsi"/>
          <w:lang w:val="en-US"/>
        </w:rPr>
        <w:t>. Aboriginal and Torres Strait Islander people have a higher rate of cancer diagnosis and are approximately 40</w:t>
      </w:r>
      <w:r>
        <w:rPr>
          <w:rFonts w:asciiTheme="majorHAnsi" w:hAnsiTheme="majorHAnsi"/>
          <w:lang w:val="en-US"/>
        </w:rPr>
        <w:t xml:space="preserve"> percent</w:t>
      </w:r>
      <w:r w:rsidRPr="00C64337">
        <w:rPr>
          <w:rFonts w:asciiTheme="majorHAnsi" w:hAnsiTheme="majorHAnsi"/>
          <w:lang w:val="en-US"/>
        </w:rPr>
        <w:t xml:space="preserve"> more likely to die from cancer than non-Indigenous Australians. The highest cancer incidence rates are </w:t>
      </w:r>
      <w:r>
        <w:rPr>
          <w:rFonts w:asciiTheme="majorHAnsi" w:hAnsiTheme="majorHAnsi"/>
          <w:lang w:val="en-US"/>
        </w:rPr>
        <w:t xml:space="preserve">for </w:t>
      </w:r>
      <w:r w:rsidRPr="00C64337">
        <w:rPr>
          <w:rFonts w:asciiTheme="majorHAnsi" w:hAnsiTheme="majorHAnsi"/>
          <w:lang w:val="en-US"/>
        </w:rPr>
        <w:t xml:space="preserve">lung cancer, breast cancer, colorectal cancer and prostate </w:t>
      </w:r>
      <w:r w:rsidRPr="002D36C0">
        <w:rPr>
          <w:rFonts w:asciiTheme="majorHAnsi" w:hAnsiTheme="majorHAnsi"/>
          <w:lang w:val="en-US"/>
        </w:rPr>
        <w:t>cancers</w:t>
      </w:r>
      <w:r>
        <w:rPr>
          <w:rFonts w:asciiTheme="majorHAnsi" w:hAnsiTheme="majorHAnsi"/>
          <w:lang w:val="en-US"/>
        </w:rPr>
        <w:t xml:space="preserve"> (</w:t>
      </w:r>
      <w:r w:rsidRPr="002D36C0">
        <w:rPr>
          <w:rFonts w:asciiTheme="majorHAnsi" w:hAnsiTheme="majorHAnsi"/>
          <w:lang w:val="en-US"/>
        </w:rPr>
        <w:t>AIHW 2020</w:t>
      </w:r>
      <w:r>
        <w:rPr>
          <w:rFonts w:asciiTheme="majorHAnsi" w:hAnsiTheme="majorHAnsi"/>
          <w:lang w:val="en-US"/>
        </w:rPr>
        <w:t>b)</w:t>
      </w:r>
      <w:r w:rsidRPr="002D36C0">
        <w:rPr>
          <w:rFonts w:asciiTheme="majorHAnsi" w:hAnsiTheme="majorHAnsi"/>
          <w:lang w:val="en-US"/>
        </w:rPr>
        <w:t>.</w:t>
      </w:r>
    </w:p>
    <w:p w14:paraId="6180F9CD" w14:textId="1C360320" w:rsidR="001174D1" w:rsidRPr="00C64337" w:rsidRDefault="001174D1" w:rsidP="001174D1">
      <w:pPr>
        <w:ind w:right="352"/>
        <w:rPr>
          <w:rFonts w:asciiTheme="majorHAnsi" w:hAnsiTheme="majorHAnsi"/>
          <w:lang w:val="en-US"/>
        </w:rPr>
      </w:pPr>
      <w:r w:rsidRPr="00C64337">
        <w:rPr>
          <w:rFonts w:asciiTheme="majorHAnsi" w:hAnsiTheme="majorHAnsi"/>
          <w:lang w:val="en-US"/>
        </w:rPr>
        <w:t xml:space="preserve">Other significant challenges for the sector in meeting the health needs of Aboriginal and Torres Strait Islander peoples include mental health and suicide, road safety fatalities and non-communicable diseases like heart disease. For example, 11% of </w:t>
      </w:r>
      <w:r>
        <w:rPr>
          <w:rFonts w:asciiTheme="majorHAnsi" w:hAnsiTheme="majorHAnsi"/>
          <w:lang w:val="en-US"/>
        </w:rPr>
        <w:t xml:space="preserve">all emergency department </w:t>
      </w:r>
      <w:r w:rsidRPr="00C64337">
        <w:rPr>
          <w:rFonts w:asciiTheme="majorHAnsi" w:hAnsiTheme="majorHAnsi"/>
          <w:lang w:val="en-US"/>
        </w:rPr>
        <w:t xml:space="preserve">presentations for mental health reasons across the country are made by Aboriginal and Torres Strait Islander people who comprise only </w:t>
      </w:r>
      <w:r>
        <w:rPr>
          <w:rFonts w:asciiTheme="majorHAnsi" w:hAnsiTheme="majorHAnsi"/>
          <w:lang w:val="en-US"/>
        </w:rPr>
        <w:t xml:space="preserve">about </w:t>
      </w:r>
      <w:r w:rsidRPr="00C64337">
        <w:rPr>
          <w:rFonts w:asciiTheme="majorHAnsi" w:hAnsiTheme="majorHAnsi"/>
          <w:lang w:val="en-US"/>
        </w:rPr>
        <w:t xml:space="preserve">3% of the total </w:t>
      </w:r>
      <w:r w:rsidRPr="002C5FF3">
        <w:rPr>
          <w:rFonts w:asciiTheme="majorHAnsi" w:hAnsiTheme="majorHAnsi"/>
          <w:lang w:val="en-US"/>
        </w:rPr>
        <w:t>population</w:t>
      </w:r>
      <w:r>
        <w:rPr>
          <w:rFonts w:asciiTheme="majorHAnsi" w:hAnsiTheme="majorHAnsi"/>
          <w:lang w:val="en-US"/>
        </w:rPr>
        <w:t xml:space="preserve"> (</w:t>
      </w:r>
      <w:r w:rsidRPr="002C5FF3">
        <w:rPr>
          <w:rFonts w:asciiTheme="majorHAnsi" w:hAnsiTheme="majorHAnsi"/>
          <w:lang w:val="en-US"/>
        </w:rPr>
        <w:t>ACEM 2018</w:t>
      </w:r>
      <w:r>
        <w:rPr>
          <w:rFonts w:asciiTheme="majorHAnsi" w:hAnsiTheme="majorHAnsi"/>
          <w:lang w:val="en-US"/>
        </w:rPr>
        <w:t>)</w:t>
      </w:r>
      <w:r w:rsidRPr="002C5FF3">
        <w:rPr>
          <w:rFonts w:asciiTheme="majorHAnsi" w:hAnsiTheme="majorHAnsi"/>
          <w:lang w:val="en-US"/>
        </w:rPr>
        <w:t>.</w:t>
      </w:r>
      <w:r w:rsidRPr="00C64337">
        <w:rPr>
          <w:rFonts w:asciiTheme="majorHAnsi" w:hAnsiTheme="majorHAnsi"/>
          <w:lang w:val="en-US"/>
        </w:rPr>
        <w:t xml:space="preserve"> </w:t>
      </w:r>
      <w:r>
        <w:rPr>
          <w:rFonts w:asciiTheme="majorHAnsi" w:hAnsiTheme="majorHAnsi"/>
          <w:lang w:val="en-US"/>
        </w:rPr>
        <w:t xml:space="preserve">In </w:t>
      </w:r>
      <w:r w:rsidRPr="00C64337">
        <w:rPr>
          <w:rFonts w:asciiTheme="majorHAnsi" w:hAnsiTheme="majorHAnsi"/>
          <w:lang w:val="en-US"/>
        </w:rPr>
        <w:t>2010, suicide was 2.6 times more likely to be the cause of death than for non-Indigenous Australians. It is significantly higher for males under 25 y</w:t>
      </w:r>
      <w:r>
        <w:rPr>
          <w:rFonts w:asciiTheme="majorHAnsi" w:hAnsiTheme="majorHAnsi"/>
          <w:lang w:val="en-US"/>
        </w:rPr>
        <w:t xml:space="preserve">ears of age (AIHW 2015). </w:t>
      </w:r>
    </w:p>
    <w:p w14:paraId="45475D08" w14:textId="5F22A349" w:rsidR="001174D1" w:rsidRDefault="001174D1" w:rsidP="001174D1">
      <w:pPr>
        <w:ind w:right="352"/>
        <w:rPr>
          <w:rFonts w:asciiTheme="majorHAnsi" w:hAnsiTheme="majorHAnsi"/>
          <w:lang w:val="en-US"/>
        </w:rPr>
      </w:pPr>
      <w:r w:rsidRPr="00C64337">
        <w:rPr>
          <w:rFonts w:asciiTheme="majorHAnsi" w:hAnsiTheme="majorHAnsi"/>
          <w:lang w:val="en-US"/>
        </w:rPr>
        <w:t>The number of Aboriginal and Torres Strait Islander people involved in road accidents and fatalitie</w:t>
      </w:r>
      <w:r>
        <w:rPr>
          <w:rFonts w:asciiTheme="majorHAnsi" w:hAnsiTheme="majorHAnsi"/>
          <w:lang w:val="en-US"/>
        </w:rPr>
        <w:t xml:space="preserve">s is disproportionately high. </w:t>
      </w:r>
      <w:r w:rsidRPr="00C64337">
        <w:rPr>
          <w:rFonts w:asciiTheme="majorHAnsi" w:hAnsiTheme="majorHAnsi"/>
          <w:lang w:val="en-US"/>
        </w:rPr>
        <w:t>Aboriginal and Torres Strait Islander people are 2.7 times more likely to die, and 1.4 times more likely to suffer serious injury because of a motor vehicle crash compared with non-Indigenous Australians</w:t>
      </w:r>
      <w:r>
        <w:rPr>
          <w:rFonts w:asciiTheme="majorHAnsi" w:hAnsiTheme="majorHAnsi"/>
          <w:lang w:val="en-US"/>
        </w:rPr>
        <w:t xml:space="preserve"> (AIHW 2019). </w:t>
      </w:r>
    </w:p>
    <w:p w14:paraId="7DE9D5D2" w14:textId="77777777" w:rsidR="001174D1" w:rsidRDefault="001174D1" w:rsidP="001174D1">
      <w:pPr>
        <w:ind w:right="352"/>
        <w:rPr>
          <w:rFonts w:asciiTheme="majorHAnsi" w:hAnsiTheme="majorHAnsi"/>
          <w:lang w:val="en-US"/>
        </w:rPr>
      </w:pPr>
      <w:r>
        <w:rPr>
          <w:rFonts w:asciiTheme="majorHAnsi" w:hAnsiTheme="majorHAnsi"/>
          <w:lang w:val="en-US"/>
        </w:rPr>
        <w:t xml:space="preserve">These key challenges have been acknowledged in designing the Health-SSP by Key Area for Action. </w:t>
      </w:r>
    </w:p>
    <w:p w14:paraId="60460A8C" w14:textId="24A68DC5" w:rsidR="004F1280" w:rsidRPr="00724DFB" w:rsidRDefault="004F1280" w:rsidP="00036CD7">
      <w:pPr>
        <w:pStyle w:val="h2"/>
      </w:pPr>
      <w:bookmarkStart w:id="17" w:name="_Toc88818191"/>
      <w:r w:rsidRPr="00724DFB">
        <w:t>Key Areas for Action</w:t>
      </w:r>
      <w:bookmarkEnd w:id="17"/>
    </w:p>
    <w:p w14:paraId="3DD837E3" w14:textId="11616400" w:rsidR="00C416AD" w:rsidRPr="004F1280" w:rsidRDefault="004F1280" w:rsidP="004F1280">
      <w:pPr>
        <w:pStyle w:val="Heading3"/>
        <w:numPr>
          <w:ilvl w:val="0"/>
          <w:numId w:val="0"/>
        </w:numPr>
        <w:ind w:left="357" w:hanging="357"/>
        <w:rPr>
          <w:b/>
          <w:color w:val="1F3864" w:themeColor="accent1" w:themeShade="80"/>
          <w:szCs w:val="26"/>
        </w:rPr>
      </w:pPr>
      <w:bookmarkStart w:id="18" w:name="_Toc86927077"/>
      <w:bookmarkStart w:id="19" w:name="_Toc88818192"/>
      <w:r w:rsidRPr="004F1280">
        <w:rPr>
          <w:b/>
          <w:color w:val="1F3864" w:themeColor="accent1" w:themeShade="80"/>
          <w:szCs w:val="26"/>
        </w:rPr>
        <w:t>A. Consistent funding model</w:t>
      </w:r>
      <w:bookmarkEnd w:id="18"/>
      <w:bookmarkEnd w:id="19"/>
    </w:p>
    <w:p w14:paraId="566725B2" w14:textId="77777777" w:rsidR="001174D1" w:rsidRDefault="001174D1" w:rsidP="00BB4589">
      <w:pPr>
        <w:widowControl w:val="0"/>
        <w:tabs>
          <w:tab w:val="left" w:pos="220"/>
          <w:tab w:val="left" w:pos="720"/>
        </w:tabs>
        <w:autoSpaceDE w:val="0"/>
        <w:autoSpaceDN w:val="0"/>
        <w:adjustRightInd w:val="0"/>
        <w:spacing w:after="240"/>
        <w:rPr>
          <w:rFonts w:asciiTheme="majorHAnsi" w:hAnsiTheme="majorHAnsi" w:cstheme="majorHAnsi"/>
          <w:iCs/>
          <w:lang w:val="en-US"/>
        </w:rPr>
      </w:pPr>
      <w:r w:rsidRPr="00C64337">
        <w:rPr>
          <w:rFonts w:asciiTheme="majorHAnsi" w:hAnsiTheme="majorHAnsi" w:cstheme="majorHAnsi"/>
          <w:iCs/>
          <w:lang w:val="en-US"/>
        </w:rPr>
        <w:t xml:space="preserve">In its </w:t>
      </w:r>
      <w:r w:rsidRPr="00C64337">
        <w:rPr>
          <w:rFonts w:asciiTheme="majorHAnsi" w:hAnsiTheme="majorHAnsi" w:cstheme="majorHAnsi"/>
          <w:i/>
          <w:iCs/>
          <w:lang w:val="en-US"/>
        </w:rPr>
        <w:t>2018 Report Card on Indigenous Health</w:t>
      </w:r>
      <w:r w:rsidRPr="00C64337">
        <w:rPr>
          <w:rFonts w:asciiTheme="majorHAnsi" w:hAnsiTheme="majorHAnsi" w:cstheme="majorHAnsi"/>
          <w:iCs/>
          <w:lang w:val="en-US"/>
        </w:rPr>
        <w:t xml:space="preserve">, the Australian Medical Association </w:t>
      </w:r>
      <w:r>
        <w:rPr>
          <w:rFonts w:asciiTheme="majorHAnsi" w:hAnsiTheme="majorHAnsi" w:cstheme="majorHAnsi"/>
          <w:iCs/>
          <w:lang w:val="en-US"/>
        </w:rPr>
        <w:t xml:space="preserve">(AMA) </w:t>
      </w:r>
      <w:r w:rsidRPr="00C64337">
        <w:rPr>
          <w:rFonts w:asciiTheme="majorHAnsi" w:hAnsiTheme="majorHAnsi" w:cstheme="majorHAnsi"/>
          <w:iCs/>
          <w:lang w:val="en-US"/>
        </w:rPr>
        <w:t>noted that health spending per capita for Aboriginal and Torres Strait Islander people was less than for no</w:t>
      </w:r>
      <w:r>
        <w:rPr>
          <w:rFonts w:asciiTheme="majorHAnsi" w:hAnsiTheme="majorHAnsi" w:cstheme="majorHAnsi"/>
          <w:iCs/>
          <w:lang w:val="en-US"/>
        </w:rPr>
        <w:t>n-Indigenous people despite their higher</w:t>
      </w:r>
      <w:r w:rsidRPr="00C64337">
        <w:rPr>
          <w:rFonts w:asciiTheme="majorHAnsi" w:hAnsiTheme="majorHAnsi" w:cstheme="majorHAnsi"/>
          <w:iCs/>
          <w:lang w:val="en-US"/>
        </w:rPr>
        <w:t xml:space="preserve"> disease burden, describing this as ‘untenable national policy that must be </w:t>
      </w:r>
      <w:r w:rsidRPr="000B0A8A">
        <w:rPr>
          <w:rFonts w:asciiTheme="majorHAnsi" w:hAnsiTheme="majorHAnsi" w:cstheme="majorHAnsi"/>
          <w:iCs/>
          <w:lang w:val="en-US"/>
        </w:rPr>
        <w:t>rectified’ (AMA 2018).</w:t>
      </w:r>
      <w:r w:rsidRPr="00C64337">
        <w:rPr>
          <w:rFonts w:asciiTheme="majorHAnsi" w:hAnsiTheme="majorHAnsi" w:cstheme="majorHAnsi"/>
          <w:iCs/>
          <w:lang w:val="en-US"/>
        </w:rPr>
        <w:t xml:space="preserve">  </w:t>
      </w:r>
    </w:p>
    <w:p w14:paraId="06672065" w14:textId="4EDF1E5B" w:rsidR="001174D1" w:rsidRDefault="001174D1" w:rsidP="001174D1">
      <w:pPr>
        <w:widowControl w:val="0"/>
        <w:tabs>
          <w:tab w:val="left" w:pos="220"/>
          <w:tab w:val="left" w:pos="720"/>
        </w:tabs>
        <w:autoSpaceDE w:val="0"/>
        <w:autoSpaceDN w:val="0"/>
        <w:adjustRightInd w:val="0"/>
        <w:spacing w:after="240"/>
        <w:rPr>
          <w:rFonts w:asciiTheme="majorHAnsi" w:hAnsiTheme="majorHAnsi" w:cstheme="majorHAnsi"/>
          <w:iCs/>
          <w:lang w:val="en-US"/>
        </w:rPr>
      </w:pPr>
      <w:r w:rsidRPr="00C64337">
        <w:rPr>
          <w:rFonts w:asciiTheme="majorHAnsi" w:hAnsiTheme="majorHAnsi" w:cstheme="majorHAnsi"/>
          <w:iCs/>
          <w:lang w:val="en-US"/>
        </w:rPr>
        <w:t xml:space="preserve">Reliable, sustained funding proportionate to community health need ensures the Aboriginal and Torres Strait Islander community-controlled health sector can accelerate progress in health improvement at population </w:t>
      </w:r>
      <w:r w:rsidRPr="00153BDB">
        <w:rPr>
          <w:rFonts w:asciiTheme="majorHAnsi" w:hAnsiTheme="majorHAnsi" w:cstheme="majorHAnsi"/>
          <w:iCs/>
          <w:lang w:val="en-US"/>
        </w:rPr>
        <w:t>level. When fully operational, primary health care saves preventable demand on the rest of the Australian health</w:t>
      </w:r>
      <w:r>
        <w:rPr>
          <w:rFonts w:asciiTheme="majorHAnsi" w:hAnsiTheme="majorHAnsi" w:cstheme="majorHAnsi"/>
          <w:iCs/>
          <w:lang w:val="en-US"/>
        </w:rPr>
        <w:t xml:space="preserve"> care system evidenced in rates of </w:t>
      </w:r>
      <w:r w:rsidRPr="00C64337">
        <w:rPr>
          <w:rFonts w:asciiTheme="majorHAnsi" w:hAnsiTheme="majorHAnsi" w:cstheme="majorHAnsi"/>
          <w:iCs/>
          <w:lang w:val="en-US"/>
        </w:rPr>
        <w:t xml:space="preserve">avoidable </w:t>
      </w:r>
      <w:proofErr w:type="spellStart"/>
      <w:r w:rsidRPr="002D36C0">
        <w:rPr>
          <w:rFonts w:asciiTheme="majorHAnsi" w:hAnsiTheme="majorHAnsi" w:cstheme="majorHAnsi"/>
          <w:iCs/>
          <w:lang w:val="en-US"/>
        </w:rPr>
        <w:t>hospitalisations</w:t>
      </w:r>
      <w:proofErr w:type="spellEnd"/>
      <w:r>
        <w:rPr>
          <w:rFonts w:asciiTheme="majorHAnsi" w:hAnsiTheme="majorHAnsi" w:cstheme="majorHAnsi"/>
          <w:iCs/>
          <w:lang w:val="en-US"/>
        </w:rPr>
        <w:t xml:space="preserve"> (Ma and</w:t>
      </w:r>
      <w:r w:rsidRPr="002D36C0">
        <w:rPr>
          <w:rFonts w:asciiTheme="majorHAnsi" w:hAnsiTheme="majorHAnsi" w:cstheme="majorHAnsi"/>
          <w:iCs/>
          <w:lang w:val="en-US"/>
        </w:rPr>
        <w:t xml:space="preserve"> Ward 2020</w:t>
      </w:r>
      <w:r>
        <w:rPr>
          <w:rFonts w:asciiTheme="majorHAnsi" w:hAnsiTheme="majorHAnsi" w:cstheme="majorHAnsi"/>
          <w:iCs/>
          <w:lang w:val="en-US"/>
        </w:rPr>
        <w:t>)</w:t>
      </w:r>
      <w:r w:rsidRPr="002D36C0">
        <w:rPr>
          <w:rFonts w:asciiTheme="majorHAnsi" w:hAnsiTheme="majorHAnsi" w:cstheme="majorHAnsi"/>
          <w:iCs/>
          <w:lang w:val="en-US"/>
        </w:rPr>
        <w:t>.</w:t>
      </w:r>
      <w:r>
        <w:rPr>
          <w:rFonts w:asciiTheme="majorHAnsi" w:hAnsiTheme="majorHAnsi" w:cstheme="majorHAnsi"/>
          <w:iCs/>
          <w:lang w:val="en-US"/>
        </w:rPr>
        <w:t xml:space="preserve"> </w:t>
      </w:r>
      <w:r w:rsidRPr="00C64337">
        <w:rPr>
          <w:rFonts w:asciiTheme="majorHAnsi" w:hAnsiTheme="majorHAnsi" w:cstheme="majorHAnsi"/>
          <w:iCs/>
          <w:lang w:val="en-US"/>
        </w:rPr>
        <w:t>A needs-based funding model that enables the sector to deliver its full potential is yet to be developed and endorsed by all Parties to the National Agreement</w:t>
      </w:r>
      <w:r>
        <w:rPr>
          <w:rFonts w:asciiTheme="majorHAnsi" w:hAnsiTheme="majorHAnsi" w:cstheme="majorHAnsi"/>
          <w:iCs/>
          <w:lang w:val="en-US"/>
        </w:rPr>
        <w:t xml:space="preserve">. </w:t>
      </w:r>
      <w:r w:rsidRPr="00055C74">
        <w:rPr>
          <w:rFonts w:asciiTheme="majorHAnsi" w:hAnsiTheme="majorHAnsi" w:cstheme="majorHAnsi"/>
          <w:iCs/>
          <w:lang w:val="en-US"/>
        </w:rPr>
        <w:t xml:space="preserve">There are also opportunities to develop commissioning policies, outcomes-based contracting and other shifts in where and how dedicated Aboriginal and Torres Strait Islander health program funding currently allocated to mainstream </w:t>
      </w:r>
      <w:proofErr w:type="spellStart"/>
      <w:r w:rsidRPr="00055C74">
        <w:rPr>
          <w:rFonts w:asciiTheme="majorHAnsi" w:hAnsiTheme="majorHAnsi" w:cstheme="majorHAnsi"/>
          <w:iCs/>
          <w:lang w:val="en-US"/>
        </w:rPr>
        <w:t>organisations</w:t>
      </w:r>
      <w:proofErr w:type="spellEnd"/>
      <w:r w:rsidRPr="00055C74">
        <w:rPr>
          <w:rFonts w:asciiTheme="majorHAnsi" w:hAnsiTheme="majorHAnsi" w:cstheme="majorHAnsi"/>
          <w:iCs/>
          <w:lang w:val="en-US"/>
        </w:rPr>
        <w:t xml:space="preserve"> could be redirected. </w:t>
      </w:r>
      <w:r>
        <w:rPr>
          <w:rFonts w:asciiTheme="majorHAnsi" w:hAnsiTheme="majorHAnsi" w:cstheme="majorHAnsi"/>
          <w:iCs/>
          <w:lang w:val="en-US"/>
        </w:rPr>
        <w:t xml:space="preserve"> </w:t>
      </w:r>
    </w:p>
    <w:p w14:paraId="5B34B1CA" w14:textId="6B039DCB" w:rsidR="00BB4589" w:rsidRPr="001174D1" w:rsidRDefault="001174D1" w:rsidP="001174D1">
      <w:pPr>
        <w:widowControl w:val="0"/>
        <w:tabs>
          <w:tab w:val="left" w:pos="220"/>
          <w:tab w:val="left" w:pos="720"/>
        </w:tabs>
        <w:autoSpaceDE w:val="0"/>
        <w:autoSpaceDN w:val="0"/>
        <w:adjustRightInd w:val="0"/>
        <w:spacing w:after="240"/>
        <w:rPr>
          <w:rFonts w:asciiTheme="majorHAnsi" w:hAnsiTheme="majorHAnsi" w:cstheme="majorHAnsi"/>
          <w:iCs/>
          <w:lang w:val="en-US"/>
        </w:rPr>
      </w:pPr>
      <w:r>
        <w:rPr>
          <w:rFonts w:asciiTheme="majorHAnsi" w:hAnsiTheme="majorHAnsi" w:cstheme="majorHAnsi"/>
          <w:iCs/>
          <w:lang w:val="en-US"/>
        </w:rPr>
        <w:t xml:space="preserve">Under </w:t>
      </w:r>
      <w:r w:rsidRPr="00964CEC">
        <w:rPr>
          <w:rFonts w:asciiTheme="majorHAnsi" w:hAnsiTheme="majorHAnsi" w:cstheme="majorHAnsi"/>
          <w:iCs/>
          <w:lang w:val="en-US"/>
        </w:rPr>
        <w:t>the National Agreement, all governments are required to produce implementation plans for delivery against the requirements of Clause 59(d) by November 2022. More effective community-controlled health service delivery is contingent on an integrated approach being better</w:t>
      </w:r>
      <w:r w:rsidRPr="00D318EB">
        <w:rPr>
          <w:rFonts w:asciiTheme="majorHAnsi" w:hAnsiTheme="majorHAnsi" w:cstheme="majorHAnsi"/>
          <w:iCs/>
          <w:lang w:val="en-US"/>
        </w:rPr>
        <w:t xml:space="preserve"> enabled and</w:t>
      </w:r>
      <w:r>
        <w:rPr>
          <w:rFonts w:asciiTheme="majorHAnsi" w:hAnsiTheme="majorHAnsi" w:cstheme="majorHAnsi"/>
          <w:iCs/>
          <w:lang w:val="en-US"/>
        </w:rPr>
        <w:t xml:space="preserve"> secured in government policy. </w:t>
      </w:r>
      <w:r w:rsidRPr="00055C74">
        <w:rPr>
          <w:rFonts w:asciiTheme="majorHAnsi" w:hAnsiTheme="majorHAnsi" w:cstheme="majorHAnsi"/>
          <w:iCs/>
          <w:lang w:val="en-US"/>
        </w:rPr>
        <w:t>The Aboriginal and Torres Strait Islander community-controlled health sector is regularly engaged</w:t>
      </w:r>
      <w:r w:rsidRPr="00C64337">
        <w:rPr>
          <w:rFonts w:asciiTheme="majorHAnsi" w:hAnsiTheme="majorHAnsi" w:cstheme="majorHAnsi"/>
          <w:iCs/>
          <w:lang w:val="en-US"/>
        </w:rPr>
        <w:t xml:space="preserve"> in efforts on the ground in communities to ‘re-integrate’ services that have become disintegrated through </w:t>
      </w:r>
      <w:proofErr w:type="spellStart"/>
      <w:r w:rsidRPr="00C64337">
        <w:rPr>
          <w:rFonts w:asciiTheme="majorHAnsi" w:hAnsiTheme="majorHAnsi" w:cstheme="majorHAnsi"/>
          <w:iCs/>
          <w:lang w:val="en-US"/>
        </w:rPr>
        <w:t>siloed</w:t>
      </w:r>
      <w:proofErr w:type="spellEnd"/>
      <w:r w:rsidRPr="00C64337">
        <w:rPr>
          <w:rFonts w:asciiTheme="majorHAnsi" w:hAnsiTheme="majorHAnsi" w:cstheme="majorHAnsi"/>
          <w:iCs/>
          <w:lang w:val="en-US"/>
        </w:rPr>
        <w:t xml:space="preserve"> funding initiatives or other program design features. </w:t>
      </w:r>
    </w:p>
    <w:p w14:paraId="28F0ACC6" w14:textId="77777777" w:rsidR="001174D1" w:rsidRPr="00D44F76" w:rsidRDefault="001174D1" w:rsidP="001174D1">
      <w:pPr>
        <w:widowControl w:val="0"/>
        <w:tabs>
          <w:tab w:val="left" w:pos="220"/>
          <w:tab w:val="left" w:pos="720"/>
        </w:tabs>
        <w:autoSpaceDE w:val="0"/>
        <w:autoSpaceDN w:val="0"/>
        <w:adjustRightInd w:val="0"/>
        <w:spacing w:after="240"/>
        <w:rPr>
          <w:rFonts w:asciiTheme="majorHAnsi" w:hAnsiTheme="majorHAnsi" w:cstheme="majorHAnsi"/>
          <w:iCs/>
          <w:lang w:val="en-US"/>
        </w:rPr>
      </w:pPr>
      <w:r>
        <w:rPr>
          <w:rFonts w:asciiTheme="majorHAnsi" w:hAnsiTheme="majorHAnsi" w:cstheme="majorHAnsi"/>
          <w:iCs/>
          <w:lang w:val="en-US"/>
        </w:rPr>
        <w:lastRenderedPageBreak/>
        <w:t>Strategies in this</w:t>
      </w:r>
      <w:r w:rsidRPr="00D318EB">
        <w:rPr>
          <w:rFonts w:asciiTheme="majorHAnsi" w:hAnsiTheme="majorHAnsi" w:cstheme="majorHAnsi"/>
          <w:iCs/>
          <w:lang w:val="en-US"/>
        </w:rPr>
        <w:t xml:space="preserve"> </w:t>
      </w:r>
      <w:r>
        <w:rPr>
          <w:rFonts w:asciiTheme="majorHAnsi" w:hAnsiTheme="majorHAnsi" w:cstheme="majorHAnsi"/>
          <w:iCs/>
          <w:lang w:val="en-US"/>
        </w:rPr>
        <w:t xml:space="preserve">Health-SSP reflect the definition </w:t>
      </w:r>
      <w:r w:rsidRPr="00D318EB">
        <w:rPr>
          <w:rFonts w:asciiTheme="majorHAnsi" w:hAnsiTheme="majorHAnsi" w:cstheme="majorHAnsi"/>
          <w:iCs/>
          <w:lang w:val="en-US"/>
        </w:rPr>
        <w:t xml:space="preserve">held across the Aboriginal and Torres Strait Islander community-controlled </w:t>
      </w:r>
      <w:r>
        <w:rPr>
          <w:rFonts w:asciiTheme="majorHAnsi" w:hAnsiTheme="majorHAnsi" w:cstheme="majorHAnsi"/>
          <w:iCs/>
          <w:lang w:val="en-US"/>
        </w:rPr>
        <w:t>health</w:t>
      </w:r>
      <w:r w:rsidRPr="00D318EB">
        <w:rPr>
          <w:rFonts w:asciiTheme="majorHAnsi" w:hAnsiTheme="majorHAnsi" w:cstheme="majorHAnsi"/>
          <w:iCs/>
          <w:lang w:val="en-US"/>
        </w:rPr>
        <w:t xml:space="preserve"> sector that </w:t>
      </w:r>
      <w:r>
        <w:rPr>
          <w:rFonts w:asciiTheme="majorHAnsi" w:hAnsiTheme="majorHAnsi" w:cstheme="majorHAnsi"/>
          <w:iCs/>
          <w:lang w:val="en-US"/>
        </w:rPr>
        <w:t>health</w:t>
      </w:r>
      <w:r w:rsidRPr="00D318EB">
        <w:rPr>
          <w:rFonts w:asciiTheme="majorHAnsi" w:hAnsiTheme="majorHAnsi" w:cstheme="majorHAnsi"/>
          <w:iCs/>
          <w:lang w:val="en-US"/>
        </w:rPr>
        <w:t xml:space="preserve"> is a holistic concept. As one of the submissions </w:t>
      </w:r>
      <w:r>
        <w:rPr>
          <w:rFonts w:asciiTheme="majorHAnsi" w:hAnsiTheme="majorHAnsi" w:cstheme="majorHAnsi"/>
          <w:iCs/>
          <w:lang w:val="en-US"/>
        </w:rPr>
        <w:t xml:space="preserve">made to </w:t>
      </w:r>
      <w:r w:rsidRPr="00D318EB">
        <w:rPr>
          <w:rFonts w:asciiTheme="majorHAnsi" w:hAnsiTheme="majorHAnsi" w:cstheme="majorHAnsi"/>
          <w:iCs/>
          <w:lang w:val="en-US"/>
        </w:rPr>
        <w:t xml:space="preserve">the </w:t>
      </w:r>
      <w:r>
        <w:rPr>
          <w:rFonts w:asciiTheme="majorHAnsi" w:hAnsiTheme="majorHAnsi" w:cstheme="majorHAnsi"/>
          <w:iCs/>
          <w:lang w:val="en-US"/>
        </w:rPr>
        <w:t>HSSP</w:t>
      </w:r>
      <w:r w:rsidRPr="00D318EB">
        <w:rPr>
          <w:rFonts w:asciiTheme="majorHAnsi" w:hAnsiTheme="majorHAnsi" w:cstheme="majorHAnsi"/>
          <w:iCs/>
          <w:lang w:val="en-US"/>
        </w:rPr>
        <w:t>WG stated, there is considerable opportunity to</w:t>
      </w:r>
      <w:r w:rsidRPr="00D318EB">
        <w:rPr>
          <w:rFonts w:asciiTheme="majorHAnsi" w:hAnsiTheme="majorHAnsi" w:cstheme="majorHAnsi"/>
          <w:iCs/>
        </w:rPr>
        <w:t xml:space="preserve"> consolidate all government funds </w:t>
      </w:r>
      <w:r>
        <w:rPr>
          <w:rFonts w:asciiTheme="majorHAnsi" w:hAnsiTheme="majorHAnsi" w:cstheme="majorHAnsi"/>
          <w:iCs/>
        </w:rPr>
        <w:t>ear</w:t>
      </w:r>
      <w:r w:rsidRPr="00D318EB">
        <w:rPr>
          <w:rFonts w:asciiTheme="majorHAnsi" w:hAnsiTheme="majorHAnsi" w:cstheme="majorHAnsi"/>
          <w:iCs/>
        </w:rPr>
        <w:t xml:space="preserve">marked for Aboriginal </w:t>
      </w:r>
      <w:r>
        <w:rPr>
          <w:rFonts w:asciiTheme="majorHAnsi" w:hAnsiTheme="majorHAnsi" w:cstheme="majorHAnsi"/>
          <w:iCs/>
        </w:rPr>
        <w:t>and Torres Strait Islander health</w:t>
      </w:r>
      <w:r w:rsidRPr="00D318EB">
        <w:rPr>
          <w:rFonts w:asciiTheme="majorHAnsi" w:hAnsiTheme="majorHAnsi" w:cstheme="majorHAnsi"/>
          <w:iCs/>
        </w:rPr>
        <w:t xml:space="preserve"> to fund the sector holistically and cost-efficiently without incurring additional net expenditure.</w:t>
      </w:r>
      <w:r w:rsidRPr="00D318EB">
        <w:rPr>
          <w:rFonts w:asciiTheme="majorHAnsi" w:hAnsiTheme="majorHAnsi" w:cs="Calibri"/>
          <w:color w:val="000000"/>
          <w:lang w:val="en-US"/>
        </w:rPr>
        <w:t xml:space="preserve"> The cost benefit of </w:t>
      </w:r>
      <w:r>
        <w:rPr>
          <w:rFonts w:asciiTheme="majorHAnsi" w:hAnsiTheme="majorHAnsi" w:cs="Calibri"/>
          <w:color w:val="000000"/>
          <w:lang w:val="en-US"/>
        </w:rPr>
        <w:t>ACCHS</w:t>
      </w:r>
      <w:r w:rsidRPr="00D318EB">
        <w:rPr>
          <w:rFonts w:asciiTheme="majorHAnsi" w:hAnsiTheme="majorHAnsi" w:cs="Calibri"/>
          <w:color w:val="000000"/>
          <w:lang w:val="en-US"/>
        </w:rPr>
        <w:t xml:space="preserve">s per dollar spent </w:t>
      </w:r>
      <w:r w:rsidRPr="00B2543B">
        <w:rPr>
          <w:rFonts w:asciiTheme="majorHAnsi" w:hAnsiTheme="majorHAnsi" w:cs="Calibri"/>
          <w:color w:val="000000"/>
          <w:lang w:val="en-US"/>
        </w:rPr>
        <w:t xml:space="preserve">is $1.19. In remote areas, this cost benefit can be fourfold. The lifetime health impact of interventions delivered by </w:t>
      </w:r>
      <w:r>
        <w:rPr>
          <w:rFonts w:asciiTheme="majorHAnsi" w:hAnsiTheme="majorHAnsi" w:cs="Calibri"/>
          <w:color w:val="000000"/>
          <w:lang w:val="en-US"/>
        </w:rPr>
        <w:t>ACCHS</w:t>
      </w:r>
      <w:r w:rsidRPr="00B2543B">
        <w:rPr>
          <w:rFonts w:asciiTheme="majorHAnsi" w:hAnsiTheme="majorHAnsi" w:cs="Calibri"/>
          <w:color w:val="000000"/>
          <w:lang w:val="en-US"/>
        </w:rPr>
        <w:t xml:space="preserve">s is 50 per cent greater than mainstream health services </w:t>
      </w:r>
      <w:r>
        <w:rPr>
          <w:rFonts w:asciiTheme="majorHAnsi" w:hAnsiTheme="majorHAnsi" w:cs="Calibri"/>
          <w:color w:val="000000"/>
          <w:lang w:val="en-US"/>
        </w:rPr>
        <w:t>(</w:t>
      </w:r>
      <w:proofErr w:type="spellStart"/>
      <w:r>
        <w:rPr>
          <w:rFonts w:asciiTheme="majorHAnsi" w:hAnsiTheme="majorHAnsi" w:cs="Calibri"/>
          <w:color w:val="000000"/>
          <w:lang w:val="en-US"/>
        </w:rPr>
        <w:t>Vos</w:t>
      </w:r>
      <w:proofErr w:type="spellEnd"/>
      <w:r>
        <w:rPr>
          <w:rFonts w:asciiTheme="majorHAnsi" w:hAnsiTheme="majorHAnsi" w:cs="Calibri"/>
          <w:color w:val="000000"/>
          <w:lang w:val="en-US"/>
        </w:rPr>
        <w:t xml:space="preserve"> et al 2010; Ong et al 2012)</w:t>
      </w:r>
      <w:r w:rsidRPr="00B2543B">
        <w:rPr>
          <w:rFonts w:asciiTheme="majorHAnsi" w:hAnsiTheme="majorHAnsi" w:cs="Calibri"/>
          <w:color w:val="000000"/>
          <w:lang w:val="en-US"/>
        </w:rPr>
        <w:t>.</w:t>
      </w:r>
      <w:r w:rsidRPr="00B2543B">
        <w:rPr>
          <w:rFonts w:asciiTheme="majorHAnsi" w:hAnsiTheme="majorHAnsi" w:cs="Calibri"/>
          <w:color w:val="000000"/>
          <w:position w:val="10"/>
          <w:lang w:val="en-US"/>
        </w:rPr>
        <w:t xml:space="preserve"> </w:t>
      </w:r>
      <w:r w:rsidRPr="00B2543B">
        <w:rPr>
          <w:rFonts w:asciiTheme="majorHAnsi" w:hAnsiTheme="majorHAnsi" w:cs="Calibri"/>
          <w:color w:val="000000"/>
          <w:lang w:val="en-US"/>
        </w:rPr>
        <w:t xml:space="preserve">All </w:t>
      </w:r>
      <w:r>
        <w:rPr>
          <w:rFonts w:asciiTheme="majorHAnsi" w:hAnsiTheme="majorHAnsi" w:cs="Calibri"/>
          <w:color w:val="000000"/>
          <w:lang w:val="en-US"/>
        </w:rPr>
        <w:t>ACCHS</w:t>
      </w:r>
      <w:r w:rsidRPr="00B2543B">
        <w:rPr>
          <w:rFonts w:asciiTheme="majorHAnsi" w:hAnsiTheme="majorHAnsi" w:cs="Calibri"/>
          <w:color w:val="000000"/>
          <w:lang w:val="en-US"/>
        </w:rPr>
        <w:t>s are not-for-profit. All revenue is re-invested into clinics and communities.</w:t>
      </w:r>
      <w:r w:rsidRPr="00D318EB">
        <w:rPr>
          <w:rFonts w:asciiTheme="majorHAnsi" w:hAnsiTheme="majorHAnsi" w:cs="Calibri"/>
          <w:color w:val="000000"/>
          <w:lang w:val="en-US"/>
        </w:rPr>
        <w:t xml:space="preserve"> </w:t>
      </w:r>
    </w:p>
    <w:p w14:paraId="21CA040E" w14:textId="62A0594A" w:rsidR="00C416AD" w:rsidRPr="00AB08AC" w:rsidRDefault="004F1280" w:rsidP="00AB08AC">
      <w:pPr>
        <w:pStyle w:val="Heading3"/>
        <w:numPr>
          <w:ilvl w:val="0"/>
          <w:numId w:val="0"/>
        </w:numPr>
        <w:ind w:left="357" w:hanging="357"/>
        <w:rPr>
          <w:b/>
          <w:color w:val="1F3864" w:themeColor="accent1" w:themeShade="80"/>
          <w:szCs w:val="26"/>
        </w:rPr>
      </w:pPr>
      <w:bookmarkStart w:id="20" w:name="_Toc86927078"/>
      <w:bookmarkStart w:id="21" w:name="_Toc88818193"/>
      <w:r>
        <w:rPr>
          <w:b/>
          <w:color w:val="1F3864" w:themeColor="accent1" w:themeShade="80"/>
          <w:szCs w:val="26"/>
        </w:rPr>
        <w:t xml:space="preserve">B. </w:t>
      </w:r>
      <w:r w:rsidR="00BB4589" w:rsidRPr="00AB08AC">
        <w:rPr>
          <w:b/>
          <w:color w:val="1F3864" w:themeColor="accent1" w:themeShade="80"/>
          <w:szCs w:val="26"/>
        </w:rPr>
        <w:t>W</w:t>
      </w:r>
      <w:r w:rsidR="00AB08AC">
        <w:rPr>
          <w:b/>
          <w:color w:val="1F3864" w:themeColor="accent1" w:themeShade="80"/>
          <w:szCs w:val="26"/>
        </w:rPr>
        <w:t>orkforce</w:t>
      </w:r>
      <w:bookmarkEnd w:id="20"/>
      <w:bookmarkEnd w:id="21"/>
    </w:p>
    <w:p w14:paraId="516F59D2" w14:textId="33FBA05A" w:rsidR="001174D1" w:rsidRDefault="001174D1" w:rsidP="001174D1">
      <w:pPr>
        <w:rPr>
          <w:rFonts w:asciiTheme="majorHAnsi" w:hAnsiTheme="majorHAnsi" w:cstheme="majorHAnsi"/>
          <w:iCs/>
        </w:rPr>
      </w:pPr>
      <w:r w:rsidRPr="00964CEC">
        <w:rPr>
          <w:rFonts w:asciiTheme="majorHAnsi" w:hAnsiTheme="majorHAnsi" w:cs="Times New Roman"/>
        </w:rPr>
        <w:t xml:space="preserve">There are, as previously mentioned, four workforce sector peak bodies which contribute significantly to the sector, namely AIDA, </w:t>
      </w:r>
      <w:proofErr w:type="spellStart"/>
      <w:r w:rsidRPr="00964CEC">
        <w:rPr>
          <w:rFonts w:asciiTheme="majorHAnsi" w:hAnsiTheme="majorHAnsi" w:cs="Times New Roman"/>
        </w:rPr>
        <w:t>CATSINaM</w:t>
      </w:r>
      <w:proofErr w:type="spellEnd"/>
      <w:r w:rsidRPr="00964CEC">
        <w:rPr>
          <w:rFonts w:asciiTheme="majorHAnsi" w:hAnsiTheme="majorHAnsi" w:cs="Times New Roman"/>
        </w:rPr>
        <w:t xml:space="preserve">, IAHA and NAATSIHWP. </w:t>
      </w:r>
      <w:r w:rsidRPr="00964CEC">
        <w:rPr>
          <w:rFonts w:asciiTheme="majorHAnsi" w:hAnsiTheme="majorHAnsi" w:cstheme="majorHAnsi"/>
          <w:iCs/>
        </w:rPr>
        <w:t xml:space="preserve">Across Australia, it is estimated that there are only about 300 Aboriginal and Torres Strait Islander medical practitioners, fewer than 1000 Aboriginal and Torres Strait Islander allied health professionals, and only about 2500 Aboriginal and Torres Strait Islander nurses. There are significant opportunities for clinical placements and pathways for Aboriginal and Torres Strait Islander health professionals in the ACCHS sector. </w:t>
      </w:r>
      <w:r w:rsidRPr="00964CEC">
        <w:rPr>
          <w:rFonts w:ascii="Calibri" w:hAnsi="Calibri" w:cs="Times New Roman"/>
        </w:rPr>
        <w:t xml:space="preserve"> </w:t>
      </w:r>
      <w:r w:rsidRPr="00964CEC">
        <w:rPr>
          <w:rFonts w:asciiTheme="majorHAnsi" w:hAnsiTheme="majorHAnsi" w:cstheme="majorHAnsi"/>
          <w:iCs/>
        </w:rPr>
        <w:t>More needs to be done to develop career pathways to secure additional Aboriginal and Torres Strait Islander doctors, nurses and allied health professionals. Despite the sector’s success in Aboriginal and Torres Strait Islander employment and the strong preference of some Aboriginal and Torres Strait Islander health professionals to work in the sector, the challenge to recruit enough staff and keep pace with staff turnover persists.</w:t>
      </w:r>
      <w:r w:rsidRPr="004B2BFE">
        <w:rPr>
          <w:rFonts w:asciiTheme="majorHAnsi" w:hAnsiTheme="majorHAnsi" w:cstheme="majorHAnsi"/>
          <w:iCs/>
        </w:rPr>
        <w:t xml:space="preserve"> </w:t>
      </w:r>
    </w:p>
    <w:p w14:paraId="7EDEA537" w14:textId="3C9602AF" w:rsidR="001174D1" w:rsidRPr="001174D1" w:rsidRDefault="001174D1" w:rsidP="001174D1">
      <w:pPr>
        <w:rPr>
          <w:rFonts w:asciiTheme="majorHAnsi" w:hAnsiTheme="majorHAnsi" w:cs="Times New Roman"/>
        </w:rPr>
      </w:pPr>
      <w:r>
        <w:rPr>
          <w:rFonts w:asciiTheme="majorHAnsi" w:hAnsiTheme="majorHAnsi" w:cstheme="majorHAnsi"/>
          <w:iCs/>
        </w:rPr>
        <w:t xml:space="preserve">Another challenge </w:t>
      </w:r>
      <w:r w:rsidRPr="004B2BFE">
        <w:rPr>
          <w:rFonts w:asciiTheme="majorHAnsi" w:hAnsiTheme="majorHAnsi" w:cstheme="majorHAnsi"/>
          <w:iCs/>
        </w:rPr>
        <w:t>for the sector is the high number of vacancies a</w:t>
      </w:r>
      <w:r>
        <w:rPr>
          <w:rFonts w:asciiTheme="majorHAnsi" w:hAnsiTheme="majorHAnsi" w:cstheme="majorHAnsi"/>
          <w:iCs/>
        </w:rPr>
        <w:t>cross all service locations,</w:t>
      </w:r>
      <w:r w:rsidRPr="004B2BFE">
        <w:rPr>
          <w:rFonts w:asciiTheme="majorHAnsi" w:hAnsiTheme="majorHAnsi" w:cstheme="majorHAnsi"/>
          <w:iCs/>
        </w:rPr>
        <w:t xml:space="preserve"> particularly in remote an</w:t>
      </w:r>
      <w:r>
        <w:rPr>
          <w:rFonts w:asciiTheme="majorHAnsi" w:hAnsiTheme="majorHAnsi" w:cstheme="majorHAnsi"/>
          <w:iCs/>
        </w:rPr>
        <w:t xml:space="preserve">d very remote regions, including non-Indigenous health staff. In </w:t>
      </w:r>
      <w:r w:rsidRPr="004B2BFE">
        <w:rPr>
          <w:rFonts w:asciiTheme="majorHAnsi" w:hAnsiTheme="majorHAnsi" w:cstheme="majorHAnsi"/>
          <w:iCs/>
        </w:rPr>
        <w:t xml:space="preserve">times of global pandemic and plans for national </w:t>
      </w:r>
      <w:r>
        <w:rPr>
          <w:rFonts w:asciiTheme="majorHAnsi" w:hAnsiTheme="majorHAnsi" w:cstheme="majorHAnsi"/>
          <w:iCs/>
        </w:rPr>
        <w:t xml:space="preserve">COVID-19 </w:t>
      </w:r>
      <w:r w:rsidRPr="004B2BFE">
        <w:rPr>
          <w:rFonts w:asciiTheme="majorHAnsi" w:hAnsiTheme="majorHAnsi" w:cstheme="majorHAnsi"/>
          <w:iCs/>
        </w:rPr>
        <w:t xml:space="preserve">vaccination, it is all the more critical to ensure that </w:t>
      </w:r>
      <w:r>
        <w:rPr>
          <w:rFonts w:asciiTheme="majorHAnsi" w:hAnsiTheme="majorHAnsi" w:cstheme="majorHAnsi"/>
          <w:iCs/>
        </w:rPr>
        <w:t xml:space="preserve">ACCHSs </w:t>
      </w:r>
      <w:r w:rsidRPr="004B2BFE">
        <w:rPr>
          <w:rFonts w:asciiTheme="majorHAnsi" w:hAnsiTheme="majorHAnsi" w:cstheme="majorHAnsi"/>
          <w:iCs/>
        </w:rPr>
        <w:t xml:space="preserve">are </w:t>
      </w:r>
      <w:r>
        <w:rPr>
          <w:rFonts w:asciiTheme="majorHAnsi" w:hAnsiTheme="majorHAnsi" w:cstheme="majorHAnsi"/>
          <w:iCs/>
        </w:rPr>
        <w:t xml:space="preserve">fully operational </w:t>
      </w:r>
      <w:r w:rsidRPr="004B2BFE">
        <w:rPr>
          <w:rFonts w:asciiTheme="majorHAnsi" w:hAnsiTheme="majorHAnsi" w:cstheme="majorHAnsi"/>
          <w:iCs/>
        </w:rPr>
        <w:t xml:space="preserve">and </w:t>
      </w:r>
      <w:r>
        <w:rPr>
          <w:rFonts w:asciiTheme="majorHAnsi" w:hAnsiTheme="majorHAnsi" w:cstheme="majorHAnsi"/>
          <w:iCs/>
        </w:rPr>
        <w:t xml:space="preserve">staff vacancy rates </w:t>
      </w:r>
      <w:r w:rsidRPr="004B2BFE">
        <w:rPr>
          <w:rFonts w:asciiTheme="majorHAnsi" w:hAnsiTheme="majorHAnsi" w:cstheme="majorHAnsi"/>
          <w:iCs/>
        </w:rPr>
        <w:t>as low as possible.</w:t>
      </w:r>
      <w:r w:rsidRPr="007E20EB">
        <w:rPr>
          <w:rFonts w:asciiTheme="majorHAnsi" w:hAnsiTheme="majorHAnsi" w:cstheme="majorHAnsi"/>
          <w:iCs/>
        </w:rPr>
        <w:t xml:space="preserve"> Many services struggle with the recruitment and retention of suitably qualified staff, and there are gaps in the number of professionals working in the sector</w:t>
      </w:r>
      <w:r>
        <w:rPr>
          <w:rFonts w:asciiTheme="majorHAnsi" w:hAnsiTheme="majorHAnsi" w:cstheme="majorHAnsi"/>
          <w:iCs/>
        </w:rPr>
        <w:t>.</w:t>
      </w:r>
      <w:r>
        <w:rPr>
          <w:rFonts w:asciiTheme="majorHAnsi" w:hAnsiTheme="majorHAnsi" w:cs="Times New Roman"/>
        </w:rPr>
        <w:t xml:space="preserve"> </w:t>
      </w:r>
      <w:r>
        <w:rPr>
          <w:rFonts w:asciiTheme="majorHAnsi" w:hAnsiTheme="majorHAnsi" w:cstheme="majorHAnsi"/>
          <w:iCs/>
        </w:rPr>
        <w:t>Continuing development of the</w:t>
      </w:r>
      <w:r w:rsidRPr="00301D65">
        <w:rPr>
          <w:rFonts w:asciiTheme="majorHAnsi" w:hAnsiTheme="majorHAnsi"/>
          <w:i/>
          <w:iCs/>
          <w:lang w:val="en-US"/>
        </w:rPr>
        <w:t xml:space="preserve"> National Aboriginal and Torres Strait Islander </w:t>
      </w:r>
      <w:r>
        <w:rPr>
          <w:rFonts w:asciiTheme="majorHAnsi" w:hAnsiTheme="majorHAnsi"/>
          <w:i/>
          <w:iCs/>
          <w:lang w:val="en-US"/>
        </w:rPr>
        <w:t>Health</w:t>
      </w:r>
      <w:r w:rsidRPr="00301D65">
        <w:rPr>
          <w:rFonts w:asciiTheme="majorHAnsi" w:hAnsiTheme="majorHAnsi"/>
          <w:i/>
          <w:iCs/>
          <w:lang w:val="en-US"/>
        </w:rPr>
        <w:t xml:space="preserve"> Workforce Strategic Framework and Implementation Plan 2021–2031</w:t>
      </w:r>
      <w:r>
        <w:rPr>
          <w:rFonts w:asciiTheme="majorHAnsi" w:hAnsiTheme="majorHAnsi" w:cstheme="majorHAnsi"/>
          <w:iCs/>
        </w:rPr>
        <w:t xml:space="preserve"> is welcome. </w:t>
      </w:r>
      <w:r w:rsidRPr="007E20EB">
        <w:rPr>
          <w:rFonts w:asciiTheme="majorHAnsi" w:hAnsiTheme="majorHAnsi" w:cstheme="majorHAnsi"/>
          <w:iCs/>
        </w:rPr>
        <w:t xml:space="preserve">A long-term plan for building the </w:t>
      </w:r>
      <w:r>
        <w:rPr>
          <w:rFonts w:asciiTheme="majorHAnsi" w:hAnsiTheme="majorHAnsi" w:cstheme="majorHAnsi"/>
          <w:iCs/>
        </w:rPr>
        <w:t xml:space="preserve">specific </w:t>
      </w:r>
      <w:r w:rsidRPr="007E20EB">
        <w:rPr>
          <w:rFonts w:asciiTheme="majorHAnsi" w:hAnsiTheme="majorHAnsi" w:cstheme="majorHAnsi"/>
          <w:iCs/>
        </w:rPr>
        <w:t xml:space="preserve">workforce capabilities of </w:t>
      </w:r>
      <w:r>
        <w:rPr>
          <w:rFonts w:asciiTheme="majorHAnsi" w:hAnsiTheme="majorHAnsi" w:cstheme="majorHAnsi"/>
          <w:iCs/>
        </w:rPr>
        <w:t xml:space="preserve">the Aboriginal and Torres Strait Islander community-controlled health sector is also </w:t>
      </w:r>
      <w:r w:rsidRPr="007E20EB">
        <w:rPr>
          <w:rFonts w:asciiTheme="majorHAnsi" w:hAnsiTheme="majorHAnsi" w:cstheme="majorHAnsi"/>
          <w:iCs/>
        </w:rPr>
        <w:t xml:space="preserve">overdue. </w:t>
      </w:r>
      <w:r w:rsidRPr="00055C74">
        <w:rPr>
          <w:rFonts w:asciiTheme="majorHAnsi" w:hAnsiTheme="majorHAnsi" w:cstheme="majorHAnsi"/>
          <w:iCs/>
        </w:rPr>
        <w:t xml:space="preserve">In addition, there are new and expanding service delivery areas for </w:t>
      </w:r>
      <w:r>
        <w:rPr>
          <w:rFonts w:asciiTheme="majorHAnsi" w:hAnsiTheme="majorHAnsi" w:cstheme="majorHAnsi"/>
          <w:iCs/>
        </w:rPr>
        <w:t xml:space="preserve">some </w:t>
      </w:r>
      <w:r w:rsidRPr="00055C74">
        <w:rPr>
          <w:rFonts w:asciiTheme="majorHAnsi" w:hAnsiTheme="majorHAnsi" w:cstheme="majorHAnsi"/>
          <w:iCs/>
        </w:rPr>
        <w:t xml:space="preserve">ACCHSs including mental health, Social and Emotional </w:t>
      </w:r>
      <w:r w:rsidRPr="00964CEC">
        <w:rPr>
          <w:rFonts w:asciiTheme="majorHAnsi" w:hAnsiTheme="majorHAnsi" w:cstheme="majorHAnsi"/>
          <w:iCs/>
        </w:rPr>
        <w:t xml:space="preserve">Wellbeing (SEWB), disability, access and inclusion, renal dialysis closer to home and aged care. While work in a proposed Aboriginal and Torres Strait Islander Human and Community Services Workforce Framework has not yet commenced, this proposed Framework is intended to have an important role in </w:t>
      </w:r>
      <w:proofErr w:type="spellStart"/>
      <w:r w:rsidRPr="00964CEC">
        <w:rPr>
          <w:rFonts w:asciiTheme="majorHAnsi" w:hAnsiTheme="majorHAnsi" w:cstheme="majorHAnsi"/>
          <w:iCs/>
        </w:rPr>
        <w:t>brining</w:t>
      </w:r>
      <w:proofErr w:type="spellEnd"/>
      <w:r w:rsidRPr="00964CEC">
        <w:rPr>
          <w:rFonts w:asciiTheme="majorHAnsi" w:hAnsiTheme="majorHAnsi" w:cstheme="majorHAnsi"/>
          <w:iCs/>
        </w:rPr>
        <w:t xml:space="preserve"> together all workforce strategies across the human and community services sectors.</w:t>
      </w:r>
    </w:p>
    <w:p w14:paraId="3E751ABA" w14:textId="61F1CBD7" w:rsidR="001174D1" w:rsidRDefault="001174D1" w:rsidP="001174D1">
      <w:pPr>
        <w:ind w:right="352"/>
        <w:rPr>
          <w:rFonts w:asciiTheme="majorHAnsi" w:hAnsiTheme="majorHAnsi" w:cstheme="majorHAnsi"/>
          <w:iCs/>
        </w:rPr>
      </w:pPr>
      <w:r w:rsidRPr="00C64337">
        <w:rPr>
          <w:rFonts w:asciiTheme="majorHAnsi" w:hAnsiTheme="majorHAnsi" w:cstheme="majorHAnsi"/>
          <w:iCs/>
          <w:lang w:val="en-US"/>
        </w:rPr>
        <w:t xml:space="preserve">Expanding the number and capacity of Aboriginal and Torres Strait Islander community controlled </w:t>
      </w:r>
      <w:proofErr w:type="spellStart"/>
      <w:r w:rsidRPr="00C64337">
        <w:rPr>
          <w:rFonts w:asciiTheme="majorHAnsi" w:hAnsiTheme="majorHAnsi" w:cstheme="majorHAnsi"/>
          <w:iCs/>
          <w:lang w:val="en-US"/>
        </w:rPr>
        <w:t>organisations</w:t>
      </w:r>
      <w:proofErr w:type="spellEnd"/>
      <w:r w:rsidRPr="00C64337">
        <w:rPr>
          <w:rFonts w:asciiTheme="majorHAnsi" w:hAnsiTheme="majorHAnsi" w:cstheme="majorHAnsi"/>
          <w:iCs/>
          <w:lang w:val="en-US"/>
        </w:rPr>
        <w:t xml:space="preserve"> to function as Registered Training </w:t>
      </w:r>
      <w:proofErr w:type="spellStart"/>
      <w:r w:rsidRPr="00C64337">
        <w:rPr>
          <w:rFonts w:asciiTheme="majorHAnsi" w:hAnsiTheme="majorHAnsi" w:cstheme="majorHAnsi"/>
          <w:iCs/>
          <w:lang w:val="en-US"/>
        </w:rPr>
        <w:t>Organisations</w:t>
      </w:r>
      <w:proofErr w:type="spellEnd"/>
      <w:r w:rsidRPr="00C64337">
        <w:rPr>
          <w:rFonts w:asciiTheme="majorHAnsi" w:hAnsiTheme="majorHAnsi" w:cstheme="majorHAnsi"/>
          <w:iCs/>
          <w:lang w:val="en-US"/>
        </w:rPr>
        <w:t xml:space="preserve"> (RTOs) will </w:t>
      </w:r>
      <w:r>
        <w:rPr>
          <w:rFonts w:asciiTheme="majorHAnsi" w:hAnsiTheme="majorHAnsi" w:cstheme="majorHAnsi"/>
          <w:iCs/>
          <w:lang w:val="en-US"/>
        </w:rPr>
        <w:t xml:space="preserve">assist to </w:t>
      </w:r>
      <w:proofErr w:type="spellStart"/>
      <w:r w:rsidRPr="00C64337">
        <w:rPr>
          <w:rFonts w:asciiTheme="majorHAnsi" w:hAnsiTheme="majorHAnsi" w:cstheme="majorHAnsi"/>
          <w:iCs/>
          <w:lang w:val="en-US"/>
        </w:rPr>
        <w:t>stab</w:t>
      </w:r>
      <w:r>
        <w:rPr>
          <w:rFonts w:asciiTheme="majorHAnsi" w:hAnsiTheme="majorHAnsi" w:cstheme="majorHAnsi"/>
          <w:iCs/>
          <w:lang w:val="en-US"/>
        </w:rPr>
        <w:t>ilis</w:t>
      </w:r>
      <w:r w:rsidRPr="00C64337">
        <w:rPr>
          <w:rFonts w:asciiTheme="majorHAnsi" w:hAnsiTheme="majorHAnsi" w:cstheme="majorHAnsi"/>
          <w:iCs/>
          <w:lang w:val="en-US"/>
        </w:rPr>
        <w:t>e</w:t>
      </w:r>
      <w:proofErr w:type="spellEnd"/>
      <w:r w:rsidRPr="00C64337">
        <w:rPr>
          <w:rFonts w:asciiTheme="majorHAnsi" w:hAnsiTheme="majorHAnsi" w:cstheme="majorHAnsi"/>
          <w:iCs/>
          <w:lang w:val="en-US"/>
        </w:rPr>
        <w:t xml:space="preserve"> and secure workforce supply. </w:t>
      </w:r>
      <w:r w:rsidRPr="00C64337">
        <w:rPr>
          <w:sz w:val="20"/>
          <w:szCs w:val="20"/>
        </w:rPr>
        <w:t xml:space="preserve"> </w:t>
      </w:r>
      <w:r w:rsidRPr="00C64337">
        <w:rPr>
          <w:rFonts w:asciiTheme="majorHAnsi" w:hAnsiTheme="majorHAnsi" w:cstheme="majorHAnsi"/>
          <w:iCs/>
        </w:rPr>
        <w:t>RTOs are the sole entity for training of Aboriginal and Torres Strait Islander Health Workers and Aboriginal and Torres Strait Islander Health Practitioners who are essential contributors to an effective, culturally safe multidisciplinary primary health care team.  RTOs are also the only vocational tr</w:t>
      </w:r>
      <w:r>
        <w:rPr>
          <w:rFonts w:asciiTheme="majorHAnsi" w:hAnsiTheme="majorHAnsi" w:cstheme="majorHAnsi"/>
          <w:iCs/>
        </w:rPr>
        <w:t>aining entities for Indigenous e</w:t>
      </w:r>
      <w:r w:rsidRPr="00C64337">
        <w:rPr>
          <w:rFonts w:asciiTheme="majorHAnsi" w:hAnsiTheme="majorHAnsi" w:cstheme="majorHAnsi"/>
          <w:iCs/>
        </w:rPr>
        <w:t xml:space="preserve">nvironmental </w:t>
      </w:r>
      <w:r>
        <w:rPr>
          <w:rFonts w:asciiTheme="majorHAnsi" w:hAnsiTheme="majorHAnsi" w:cstheme="majorHAnsi"/>
          <w:iCs/>
        </w:rPr>
        <w:t>h</w:t>
      </w:r>
      <w:r w:rsidRPr="00C64337">
        <w:rPr>
          <w:rFonts w:asciiTheme="majorHAnsi" w:hAnsiTheme="majorHAnsi" w:cstheme="majorHAnsi"/>
          <w:iCs/>
        </w:rPr>
        <w:t xml:space="preserve">ealth. </w:t>
      </w:r>
      <w:r w:rsidRPr="006D5F96">
        <w:rPr>
          <w:rFonts w:asciiTheme="majorHAnsi" w:hAnsiTheme="majorHAnsi" w:cstheme="majorHAnsi"/>
          <w:iCs/>
        </w:rPr>
        <w:t xml:space="preserve">At 30 June 2021, there were only 821 actively practising Aboriginal and Torres Strait Islander Health Practitioners (NACCHO unpublished). Furthermore, this workforce is growing only slowly and is being outpaced by population growth so it cannot currently meet demand (Wright et al 2019). </w:t>
      </w:r>
    </w:p>
    <w:p w14:paraId="17A57CCC" w14:textId="09A56766" w:rsidR="001174D1" w:rsidRPr="006D5F96" w:rsidRDefault="001174D1" w:rsidP="001174D1">
      <w:pPr>
        <w:ind w:right="352"/>
        <w:rPr>
          <w:rFonts w:asciiTheme="majorHAnsi" w:hAnsiTheme="majorHAnsi" w:cstheme="majorHAnsi"/>
          <w:iCs/>
          <w:lang w:val="en-US"/>
        </w:rPr>
      </w:pPr>
      <w:r w:rsidRPr="006D5F96">
        <w:rPr>
          <w:rFonts w:asciiTheme="majorHAnsi" w:hAnsiTheme="majorHAnsi" w:cstheme="majorHAnsi"/>
          <w:iCs/>
        </w:rPr>
        <w:t>Linkages between community-controlled RTOs offering courses for the entire suite of health-related roles and the community-controlled health sector for training experience need</w:t>
      </w:r>
      <w:r>
        <w:rPr>
          <w:rFonts w:asciiTheme="majorHAnsi" w:hAnsiTheme="majorHAnsi" w:cstheme="majorHAnsi"/>
          <w:iCs/>
        </w:rPr>
        <w:t>s</w:t>
      </w:r>
      <w:r w:rsidRPr="006D5F96">
        <w:rPr>
          <w:rFonts w:asciiTheme="majorHAnsi" w:hAnsiTheme="majorHAnsi" w:cstheme="majorHAnsi"/>
          <w:iCs/>
        </w:rPr>
        <w:t xml:space="preserve"> to be </w:t>
      </w:r>
      <w:r w:rsidRPr="006D5F96">
        <w:rPr>
          <w:rFonts w:asciiTheme="majorHAnsi" w:hAnsiTheme="majorHAnsi" w:cstheme="majorHAnsi"/>
          <w:iCs/>
        </w:rPr>
        <w:lastRenderedPageBreak/>
        <w:t xml:space="preserve">strengthened. This includes stronger interface between the needs of ‘industry’ (in this case, the Aboriginal and Torres Strait Islander community-controlled health sector) and training institutions. Pathways that enable completion of vocational education and training courses by Aboriginal and Torres Strait Islander students in high school are strongly supported but not yet embedded as widely or as securely as they should be. Training and career pathways from unqualified entry level positions to tertiary-level degree qualifications and executive positions are not always clear. Opportunities to recruit and train local community members through options offered through Aboriginal and Torres Strait Islander community-controlled RTOs would increase access to and completion of supported training pathways through to graduation and meaningful employment. </w:t>
      </w:r>
    </w:p>
    <w:p w14:paraId="15F40470" w14:textId="297C7A6A" w:rsidR="001174D1" w:rsidRDefault="001174D1" w:rsidP="001174D1">
      <w:pPr>
        <w:ind w:right="352"/>
        <w:rPr>
          <w:rFonts w:asciiTheme="majorHAnsi" w:hAnsiTheme="majorHAnsi" w:cstheme="majorHAnsi"/>
          <w:iCs/>
        </w:rPr>
      </w:pPr>
      <w:r>
        <w:rPr>
          <w:rFonts w:asciiTheme="majorHAnsi" w:hAnsiTheme="majorHAnsi" w:cstheme="majorHAnsi"/>
          <w:iCs/>
          <w:lang w:val="en-US"/>
        </w:rPr>
        <w:t xml:space="preserve">In 2017, environmental health emerged as a significant priority during the ‘My Life My Lead’ consultations conducted to inform the </w:t>
      </w:r>
      <w:r w:rsidRPr="001152CB">
        <w:rPr>
          <w:rFonts w:asciiTheme="majorHAnsi" w:hAnsiTheme="majorHAnsi" w:cstheme="majorHAnsi"/>
          <w:i/>
          <w:iCs/>
          <w:lang w:val="en-US"/>
        </w:rPr>
        <w:t>National Aboriginal and Torres Strait Islander Health Plan 2021-203</w:t>
      </w:r>
      <w:r>
        <w:rPr>
          <w:rFonts w:asciiTheme="majorHAnsi" w:hAnsiTheme="majorHAnsi" w:cstheme="majorHAnsi"/>
          <w:i/>
          <w:iCs/>
          <w:lang w:val="en-US"/>
        </w:rPr>
        <w:t>1</w:t>
      </w:r>
      <w:r>
        <w:rPr>
          <w:rFonts w:asciiTheme="majorHAnsi" w:hAnsiTheme="majorHAnsi" w:cstheme="majorHAnsi"/>
          <w:iCs/>
          <w:lang w:val="en-US"/>
        </w:rPr>
        <w:t xml:space="preserve"> (</w:t>
      </w:r>
      <w:proofErr w:type="spellStart"/>
      <w:r>
        <w:rPr>
          <w:rFonts w:asciiTheme="majorHAnsi" w:hAnsiTheme="majorHAnsi" w:cstheme="majorHAnsi"/>
          <w:iCs/>
          <w:lang w:val="en-US"/>
        </w:rPr>
        <w:t>DoH</w:t>
      </w:r>
      <w:proofErr w:type="spellEnd"/>
      <w:r>
        <w:rPr>
          <w:rFonts w:asciiTheme="majorHAnsi" w:hAnsiTheme="majorHAnsi" w:cstheme="majorHAnsi"/>
          <w:iCs/>
          <w:lang w:val="en-US"/>
        </w:rPr>
        <w:t xml:space="preserve"> 2017). </w:t>
      </w:r>
      <w:r w:rsidRPr="00256A2B">
        <w:rPr>
          <w:rFonts w:asciiTheme="majorHAnsi" w:hAnsiTheme="majorHAnsi" w:cstheme="majorHAnsi"/>
          <w:iCs/>
        </w:rPr>
        <w:t>States and territories vary in their responses to persistently high rates of environmentally attributable disease. Some have focused on singl</w:t>
      </w:r>
      <w:r>
        <w:rPr>
          <w:rFonts w:asciiTheme="majorHAnsi" w:hAnsiTheme="majorHAnsi" w:cstheme="majorHAnsi"/>
          <w:iCs/>
        </w:rPr>
        <w:t xml:space="preserve">e diseases such as trachoma or rheumatic heart disease </w:t>
      </w:r>
      <w:r w:rsidRPr="00256A2B">
        <w:rPr>
          <w:rFonts w:asciiTheme="majorHAnsi" w:hAnsiTheme="majorHAnsi" w:cstheme="majorHAnsi"/>
          <w:iCs/>
        </w:rPr>
        <w:t xml:space="preserve">to augment environmental </w:t>
      </w:r>
      <w:r>
        <w:rPr>
          <w:rFonts w:asciiTheme="majorHAnsi" w:hAnsiTheme="majorHAnsi" w:cstheme="majorHAnsi"/>
          <w:iCs/>
        </w:rPr>
        <w:t>health programs; others have focus</w:t>
      </w:r>
      <w:r w:rsidRPr="00256A2B">
        <w:rPr>
          <w:rFonts w:asciiTheme="majorHAnsi" w:hAnsiTheme="majorHAnsi" w:cstheme="majorHAnsi"/>
          <w:iCs/>
        </w:rPr>
        <w:t>ed on water quality and control</w:t>
      </w:r>
      <w:r>
        <w:rPr>
          <w:rFonts w:asciiTheme="majorHAnsi" w:hAnsiTheme="majorHAnsi" w:cstheme="majorHAnsi"/>
          <w:iCs/>
        </w:rPr>
        <w:t xml:space="preserve"> programs; others have invested in</w:t>
      </w:r>
      <w:r w:rsidRPr="00256A2B">
        <w:rPr>
          <w:rFonts w:asciiTheme="majorHAnsi" w:hAnsiTheme="majorHAnsi" w:cstheme="majorHAnsi"/>
          <w:iCs/>
        </w:rPr>
        <w:t xml:space="preserve"> community-controlled organisations to deliver a full scope of Aboriginal </w:t>
      </w:r>
      <w:r>
        <w:rPr>
          <w:rFonts w:asciiTheme="majorHAnsi" w:hAnsiTheme="majorHAnsi" w:cstheme="majorHAnsi"/>
          <w:iCs/>
        </w:rPr>
        <w:t xml:space="preserve">and Torres Strait </w:t>
      </w:r>
      <w:r w:rsidRPr="00256A2B">
        <w:rPr>
          <w:rFonts w:asciiTheme="majorHAnsi" w:hAnsiTheme="majorHAnsi" w:cstheme="majorHAnsi"/>
          <w:iCs/>
        </w:rPr>
        <w:t xml:space="preserve">environmental </w:t>
      </w:r>
      <w:r>
        <w:rPr>
          <w:rFonts w:asciiTheme="majorHAnsi" w:hAnsiTheme="majorHAnsi" w:cstheme="majorHAnsi"/>
          <w:iCs/>
        </w:rPr>
        <w:t>health</w:t>
      </w:r>
      <w:r w:rsidRPr="00256A2B">
        <w:rPr>
          <w:rFonts w:asciiTheme="majorHAnsi" w:hAnsiTheme="majorHAnsi" w:cstheme="majorHAnsi"/>
          <w:iCs/>
        </w:rPr>
        <w:t xml:space="preserve"> programs including authority to act as del</w:t>
      </w:r>
      <w:r>
        <w:rPr>
          <w:rFonts w:asciiTheme="majorHAnsi" w:hAnsiTheme="majorHAnsi" w:cstheme="majorHAnsi"/>
          <w:iCs/>
        </w:rPr>
        <w:t xml:space="preserve">egated public health officers. </w:t>
      </w:r>
      <w:r w:rsidRPr="00256A2B">
        <w:rPr>
          <w:rFonts w:asciiTheme="majorHAnsi" w:hAnsiTheme="majorHAnsi" w:cstheme="majorHAnsi"/>
          <w:iCs/>
        </w:rPr>
        <w:t xml:space="preserve"> </w:t>
      </w:r>
    </w:p>
    <w:p w14:paraId="5917AD07" w14:textId="77777777" w:rsidR="001174D1" w:rsidRPr="00027CD5" w:rsidRDefault="001174D1" w:rsidP="001174D1">
      <w:pPr>
        <w:ind w:right="352"/>
        <w:rPr>
          <w:rFonts w:asciiTheme="majorHAnsi" w:hAnsiTheme="majorHAnsi" w:cstheme="majorHAnsi"/>
          <w:iCs/>
        </w:rPr>
      </w:pPr>
      <w:r>
        <w:rPr>
          <w:rFonts w:asciiTheme="majorHAnsi" w:hAnsiTheme="majorHAnsi" w:cstheme="majorHAnsi"/>
          <w:iCs/>
        </w:rPr>
        <w:t xml:space="preserve">This </w:t>
      </w:r>
      <w:r w:rsidRPr="00256A2B">
        <w:rPr>
          <w:rFonts w:asciiTheme="majorHAnsi" w:hAnsiTheme="majorHAnsi" w:cstheme="majorHAnsi"/>
          <w:iCs/>
        </w:rPr>
        <w:t xml:space="preserve">diversity of ‘starting positions’ and policy readiness and capability </w:t>
      </w:r>
      <w:r>
        <w:rPr>
          <w:rFonts w:asciiTheme="majorHAnsi" w:hAnsiTheme="majorHAnsi" w:cstheme="majorHAnsi"/>
          <w:iCs/>
        </w:rPr>
        <w:t xml:space="preserve">impedes national achievement in preventable disease control.  </w:t>
      </w:r>
      <w:r w:rsidRPr="00256A2B">
        <w:rPr>
          <w:rFonts w:asciiTheme="majorHAnsi" w:hAnsiTheme="majorHAnsi" w:cstheme="majorHAnsi"/>
          <w:iCs/>
        </w:rPr>
        <w:t xml:space="preserve">Community-led and integrated </w:t>
      </w:r>
      <w:r w:rsidRPr="006D5F96">
        <w:rPr>
          <w:rFonts w:asciiTheme="majorHAnsi" w:hAnsiTheme="majorHAnsi" w:cstheme="majorHAnsi"/>
          <w:iCs/>
        </w:rPr>
        <w:t>approaches encompassing ACCHSs, social housing organisations and environmental health service providers are</w:t>
      </w:r>
      <w:r w:rsidRPr="00256A2B">
        <w:rPr>
          <w:rFonts w:asciiTheme="majorHAnsi" w:hAnsiTheme="majorHAnsi" w:cstheme="majorHAnsi"/>
          <w:iCs/>
        </w:rPr>
        <w:t xml:space="preserve"> crucial to </w:t>
      </w:r>
      <w:r>
        <w:rPr>
          <w:rFonts w:asciiTheme="majorHAnsi" w:hAnsiTheme="majorHAnsi" w:cstheme="majorHAnsi"/>
          <w:iCs/>
        </w:rPr>
        <w:t>overcome</w:t>
      </w:r>
      <w:r w:rsidRPr="00256A2B">
        <w:rPr>
          <w:rFonts w:asciiTheme="majorHAnsi" w:hAnsiTheme="majorHAnsi" w:cstheme="majorHAnsi"/>
          <w:iCs/>
        </w:rPr>
        <w:t xml:space="preserve"> poor </w:t>
      </w:r>
      <w:r>
        <w:rPr>
          <w:rFonts w:asciiTheme="majorHAnsi" w:hAnsiTheme="majorHAnsi" w:cstheme="majorHAnsi"/>
          <w:iCs/>
        </w:rPr>
        <w:t>health</w:t>
      </w:r>
      <w:r w:rsidRPr="00256A2B">
        <w:rPr>
          <w:rFonts w:asciiTheme="majorHAnsi" w:hAnsiTheme="majorHAnsi" w:cstheme="majorHAnsi"/>
          <w:iCs/>
        </w:rPr>
        <w:t xml:space="preserve"> outcomes for families </w:t>
      </w:r>
      <w:r w:rsidRPr="00027CD5">
        <w:rPr>
          <w:rFonts w:asciiTheme="majorHAnsi" w:hAnsiTheme="majorHAnsi" w:cstheme="majorHAnsi"/>
          <w:iCs/>
        </w:rPr>
        <w:t xml:space="preserve">and individuals. However </w:t>
      </w:r>
      <w:r>
        <w:rPr>
          <w:rFonts w:asciiTheme="majorHAnsi" w:hAnsiTheme="majorHAnsi" w:cstheme="majorHAnsi"/>
          <w:iCs/>
        </w:rPr>
        <w:t xml:space="preserve">vocational education and </w:t>
      </w:r>
      <w:r w:rsidRPr="00027CD5">
        <w:rPr>
          <w:rFonts w:asciiTheme="majorHAnsi" w:hAnsiTheme="majorHAnsi" w:cstheme="majorHAnsi"/>
          <w:iCs/>
        </w:rPr>
        <w:t xml:space="preserve">training is </w:t>
      </w:r>
      <w:r>
        <w:rPr>
          <w:rFonts w:asciiTheme="majorHAnsi" w:hAnsiTheme="majorHAnsi" w:cstheme="majorHAnsi"/>
          <w:iCs/>
        </w:rPr>
        <w:t xml:space="preserve">not always in line </w:t>
      </w:r>
      <w:r w:rsidRPr="00027CD5">
        <w:rPr>
          <w:rFonts w:asciiTheme="majorHAnsi" w:hAnsiTheme="majorHAnsi" w:cstheme="majorHAnsi"/>
          <w:iCs/>
        </w:rPr>
        <w:t>with community requirements, including the diversity of contexts, needs and local capacity of Aboriginal and Torres Strait Islander communities requiring environmental health services. Job prospects in Aboriginal and Torres Strait Islander environmental health are patchy across the nation despite evidence of high need and benefit from holistic service delivery.</w:t>
      </w:r>
    </w:p>
    <w:p w14:paraId="063133A2" w14:textId="5150AD59" w:rsidR="00C416AD" w:rsidRDefault="004F1280" w:rsidP="00AB08AC">
      <w:pPr>
        <w:pStyle w:val="Heading3"/>
        <w:numPr>
          <w:ilvl w:val="0"/>
          <w:numId w:val="0"/>
        </w:numPr>
        <w:ind w:left="357" w:hanging="357"/>
        <w:rPr>
          <w:rFonts w:eastAsiaTheme="minorHAnsi"/>
          <w:sz w:val="22"/>
          <w:szCs w:val="22"/>
          <w:lang w:val="en-GB"/>
        </w:rPr>
      </w:pPr>
      <w:bookmarkStart w:id="22" w:name="_Toc86927079"/>
      <w:bookmarkStart w:id="23" w:name="_Toc88818194"/>
      <w:r>
        <w:rPr>
          <w:b/>
          <w:color w:val="1F3864" w:themeColor="accent1" w:themeShade="80"/>
          <w:szCs w:val="26"/>
        </w:rPr>
        <w:t xml:space="preserve">C. </w:t>
      </w:r>
      <w:r w:rsidR="00BB4589" w:rsidRPr="00AB08AC">
        <w:rPr>
          <w:b/>
          <w:color w:val="1F3864" w:themeColor="accent1" w:themeShade="80"/>
          <w:szCs w:val="26"/>
        </w:rPr>
        <w:t>I</w:t>
      </w:r>
      <w:r w:rsidR="00AB08AC">
        <w:rPr>
          <w:b/>
          <w:color w:val="1F3864" w:themeColor="accent1" w:themeShade="80"/>
          <w:szCs w:val="26"/>
        </w:rPr>
        <w:t>nfrastructure</w:t>
      </w:r>
      <w:bookmarkEnd w:id="22"/>
      <w:bookmarkEnd w:id="23"/>
    </w:p>
    <w:p w14:paraId="2114357C" w14:textId="77777777" w:rsidR="001174D1" w:rsidRDefault="001174D1" w:rsidP="001174D1">
      <w:pPr>
        <w:ind w:right="352"/>
        <w:rPr>
          <w:rFonts w:asciiTheme="majorHAnsi" w:hAnsiTheme="majorHAnsi" w:cstheme="majorHAnsi"/>
          <w:iCs/>
        </w:rPr>
      </w:pPr>
      <w:r w:rsidRPr="00027CD5">
        <w:rPr>
          <w:rFonts w:asciiTheme="majorHAnsi" w:hAnsiTheme="majorHAnsi" w:cstheme="majorHAnsi"/>
          <w:iCs/>
        </w:rPr>
        <w:t xml:space="preserve">Investment is required to address significant issues with seriously deteriorating or non-existent health infrastructure for many ACCHS through improved infrastructure. This encompasses both new and renovated health clinics, and associated housing for staff. Funding is needed to provide </w:t>
      </w:r>
      <w:r>
        <w:rPr>
          <w:rFonts w:asciiTheme="majorHAnsi" w:hAnsiTheme="majorHAnsi" w:cstheme="majorHAnsi"/>
          <w:iCs/>
        </w:rPr>
        <w:t>information technology</w:t>
      </w:r>
      <w:r w:rsidRPr="00027CD5">
        <w:rPr>
          <w:rFonts w:asciiTheme="majorHAnsi" w:hAnsiTheme="majorHAnsi" w:cstheme="majorHAnsi"/>
          <w:iCs/>
        </w:rPr>
        <w:t xml:space="preserve"> infrastructure t</w:t>
      </w:r>
      <w:r>
        <w:rPr>
          <w:rFonts w:asciiTheme="majorHAnsi" w:hAnsiTheme="majorHAnsi" w:cstheme="majorHAnsi"/>
          <w:iCs/>
        </w:rPr>
        <w:t xml:space="preserve">o support improved </w:t>
      </w:r>
      <w:r w:rsidRPr="00055C74">
        <w:rPr>
          <w:rFonts w:asciiTheme="majorHAnsi" w:hAnsiTheme="majorHAnsi" w:cstheme="majorHAnsi"/>
          <w:iCs/>
        </w:rPr>
        <w:t>connectivity, data security and increased remote consultations using telehealth.  Point-of-care testing and other diagnostic and therapeutic innovations are highly suitable for uptake in ACCHSs.</w:t>
      </w:r>
      <w:r>
        <w:rPr>
          <w:rFonts w:asciiTheme="majorHAnsi" w:hAnsiTheme="majorHAnsi" w:cstheme="majorHAnsi"/>
          <w:iCs/>
        </w:rPr>
        <w:t xml:space="preserve">  </w:t>
      </w:r>
    </w:p>
    <w:p w14:paraId="419BBBBC" w14:textId="2770FD7D" w:rsidR="001174D1" w:rsidRPr="002548A7" w:rsidRDefault="001174D1" w:rsidP="001174D1">
      <w:pPr>
        <w:ind w:right="352"/>
        <w:rPr>
          <w:rFonts w:asciiTheme="majorHAnsi" w:hAnsiTheme="majorHAnsi" w:cstheme="majorHAnsi"/>
          <w:iCs/>
        </w:rPr>
      </w:pPr>
      <w:r>
        <w:rPr>
          <w:rFonts w:asciiTheme="majorHAnsi" w:hAnsiTheme="majorHAnsi" w:cstheme="majorHAnsi"/>
          <w:iCs/>
        </w:rPr>
        <w:t xml:space="preserve">In August 2021, the Prime Minister and Minister for Indigenous Australians announced that the Australian Government’s Closing the Gap Implementation Plan included an </w:t>
      </w:r>
      <w:r w:rsidRPr="00523F59">
        <w:rPr>
          <w:rFonts w:asciiTheme="majorHAnsi" w:hAnsiTheme="majorHAnsi" w:cstheme="majorHAnsi"/>
          <w:iCs/>
        </w:rPr>
        <w:t>additional $254.4 million towards infrastructure to better support A</w:t>
      </w:r>
      <w:r>
        <w:rPr>
          <w:rFonts w:asciiTheme="majorHAnsi" w:hAnsiTheme="majorHAnsi" w:cstheme="majorHAnsi"/>
          <w:iCs/>
        </w:rPr>
        <w:t xml:space="preserve">CCHSs </w:t>
      </w:r>
      <w:r w:rsidRPr="00523F59">
        <w:rPr>
          <w:rFonts w:asciiTheme="majorHAnsi" w:hAnsiTheme="majorHAnsi" w:cstheme="majorHAnsi"/>
          <w:i/>
          <w:iCs/>
        </w:rPr>
        <w:t>‘do their critical work, and on their terms’</w:t>
      </w:r>
      <w:r>
        <w:rPr>
          <w:rFonts w:asciiTheme="majorHAnsi" w:hAnsiTheme="majorHAnsi" w:cstheme="majorHAnsi"/>
          <w:i/>
          <w:iCs/>
        </w:rPr>
        <w:t xml:space="preserve"> </w:t>
      </w:r>
      <w:r>
        <w:rPr>
          <w:rFonts w:asciiTheme="majorHAnsi" w:hAnsiTheme="majorHAnsi" w:cstheme="majorHAnsi"/>
          <w:iCs/>
        </w:rPr>
        <w:t xml:space="preserve">(Prime Minister and Minister for Indigenous </w:t>
      </w:r>
      <w:r w:rsidRPr="002548A7">
        <w:rPr>
          <w:rFonts w:asciiTheme="majorHAnsi" w:hAnsiTheme="majorHAnsi" w:cstheme="majorHAnsi"/>
          <w:iCs/>
        </w:rPr>
        <w:t>Australians 2021).</w:t>
      </w:r>
      <w:r>
        <w:rPr>
          <w:rFonts w:asciiTheme="majorHAnsi" w:hAnsiTheme="majorHAnsi" w:cstheme="majorHAnsi"/>
          <w:iCs/>
        </w:rPr>
        <w:t xml:space="preserve"> </w:t>
      </w:r>
      <w:r w:rsidRPr="002548A7">
        <w:rPr>
          <w:rFonts w:asciiTheme="majorHAnsi" w:hAnsiTheme="majorHAnsi" w:cstheme="majorHAnsi"/>
          <w:iCs/>
        </w:rPr>
        <w:t xml:space="preserve">A greater investment in infrastructure development </w:t>
      </w:r>
      <w:r>
        <w:rPr>
          <w:rFonts w:asciiTheme="majorHAnsi" w:hAnsiTheme="majorHAnsi" w:cstheme="majorHAnsi"/>
          <w:iCs/>
        </w:rPr>
        <w:t>will</w:t>
      </w:r>
      <w:r w:rsidRPr="002548A7">
        <w:rPr>
          <w:rFonts w:asciiTheme="majorHAnsi" w:hAnsiTheme="majorHAnsi" w:cstheme="majorHAnsi"/>
          <w:iCs/>
        </w:rPr>
        <w:t xml:space="preserve"> stimulate local economies and boost employment. A greater investment in ACCHS infrastructure will also support ACCHS to generate their own funding. For example, a lack of consulting rooms and derelict infrastructure severely limits the sector’s ability to function effectively.</w:t>
      </w:r>
      <w:r>
        <w:rPr>
          <w:rFonts w:asciiTheme="majorHAnsi" w:hAnsiTheme="majorHAnsi" w:cstheme="majorHAnsi"/>
          <w:iCs/>
        </w:rPr>
        <w:t xml:space="preserve"> Overall, it has been estimated that infrastructure in the Aboriginal and Torres Strait Islander community-controlled health sector is in the order of $1.0 billion.  </w:t>
      </w:r>
      <w:r w:rsidRPr="00964CEC">
        <w:rPr>
          <w:rFonts w:asciiTheme="majorHAnsi" w:hAnsiTheme="majorHAnsi" w:cstheme="majorHAnsi"/>
          <w:iCs/>
        </w:rPr>
        <w:t>Development of renovated and new staff accommodation may, in some instances, require the involvement and investment of respective state and territory governments.</w:t>
      </w:r>
    </w:p>
    <w:p w14:paraId="66C2953E" w14:textId="310E54CB" w:rsidR="00C416AD" w:rsidRPr="00AB08AC" w:rsidRDefault="004F1280" w:rsidP="00AB08AC">
      <w:pPr>
        <w:pStyle w:val="Heading3"/>
        <w:numPr>
          <w:ilvl w:val="0"/>
          <w:numId w:val="0"/>
        </w:numPr>
        <w:ind w:left="357" w:hanging="357"/>
        <w:rPr>
          <w:b/>
          <w:color w:val="1F3864" w:themeColor="accent1" w:themeShade="80"/>
          <w:szCs w:val="26"/>
        </w:rPr>
      </w:pPr>
      <w:bookmarkStart w:id="24" w:name="_Toc86927080"/>
      <w:bookmarkStart w:id="25" w:name="_Toc88818195"/>
      <w:r>
        <w:rPr>
          <w:b/>
          <w:color w:val="1F3864" w:themeColor="accent1" w:themeShade="80"/>
          <w:szCs w:val="26"/>
        </w:rPr>
        <w:lastRenderedPageBreak/>
        <w:t xml:space="preserve">D. </w:t>
      </w:r>
      <w:r w:rsidR="00BB4589" w:rsidRPr="00AB08AC">
        <w:rPr>
          <w:b/>
          <w:color w:val="1F3864" w:themeColor="accent1" w:themeShade="80"/>
          <w:szCs w:val="26"/>
        </w:rPr>
        <w:t>S</w:t>
      </w:r>
      <w:r w:rsidR="00AB08AC">
        <w:rPr>
          <w:b/>
          <w:color w:val="1F3864" w:themeColor="accent1" w:themeShade="80"/>
          <w:szCs w:val="26"/>
        </w:rPr>
        <w:t>ervice delivery</w:t>
      </w:r>
      <w:bookmarkEnd w:id="24"/>
      <w:bookmarkEnd w:id="25"/>
    </w:p>
    <w:p w14:paraId="67169353" w14:textId="34B97B1A" w:rsidR="001174D1" w:rsidRDefault="001174D1" w:rsidP="001174D1">
      <w:pPr>
        <w:ind w:right="352"/>
        <w:rPr>
          <w:rFonts w:asciiTheme="majorHAnsi" w:hAnsiTheme="majorHAnsi"/>
        </w:rPr>
      </w:pPr>
      <w:r w:rsidRPr="00E963CA">
        <w:rPr>
          <w:rFonts w:asciiTheme="majorHAnsi" w:hAnsiTheme="majorHAnsi"/>
        </w:rPr>
        <w:t>Many Aboriginal and Torres Strait Islander people have little trust in mainstream service providers and government-run agencies. Many of these providers do not retain Aboriginal and Torres Strait Islander clients and do not achieve optimal outcomes in Aboriginal and Torr</w:t>
      </w:r>
      <w:r>
        <w:rPr>
          <w:rFonts w:asciiTheme="majorHAnsi" w:hAnsiTheme="majorHAnsi"/>
        </w:rPr>
        <w:t>es Strait Islander communities (Emerson et al 2015).</w:t>
      </w:r>
      <w:r w:rsidRPr="00E963CA">
        <w:rPr>
          <w:rFonts w:asciiTheme="majorHAnsi" w:hAnsiTheme="majorHAnsi"/>
        </w:rPr>
        <w:t xml:space="preserve"> The less control people have over their lives and environment, the more likely they are to suffer ill </w:t>
      </w:r>
      <w:r>
        <w:rPr>
          <w:rFonts w:asciiTheme="majorHAnsi" w:hAnsiTheme="majorHAnsi"/>
        </w:rPr>
        <w:t>health</w:t>
      </w:r>
      <w:r w:rsidRPr="00E963CA">
        <w:rPr>
          <w:rFonts w:asciiTheme="majorHAnsi" w:hAnsiTheme="majorHAnsi"/>
        </w:rPr>
        <w:t xml:space="preserve">, with powerlessness being a risk factor for </w:t>
      </w:r>
      <w:r>
        <w:rPr>
          <w:rFonts w:asciiTheme="majorHAnsi" w:hAnsiTheme="majorHAnsi"/>
        </w:rPr>
        <w:t>health</w:t>
      </w:r>
      <w:r w:rsidRPr="00E963CA">
        <w:rPr>
          <w:rFonts w:asciiTheme="majorHAnsi" w:hAnsiTheme="majorHAnsi"/>
        </w:rPr>
        <w:t xml:space="preserve"> and </w:t>
      </w:r>
      <w:r>
        <w:rPr>
          <w:rFonts w:asciiTheme="majorHAnsi" w:hAnsiTheme="majorHAnsi"/>
        </w:rPr>
        <w:t>social and emotional wellbeing.</w:t>
      </w:r>
      <w:r w:rsidRPr="00E963CA">
        <w:rPr>
          <w:rFonts w:asciiTheme="majorHAnsi" w:hAnsiTheme="majorHAnsi"/>
        </w:rPr>
        <w:t xml:space="preserve"> Transitioning government-run clinics to </w:t>
      </w:r>
      <w:r>
        <w:rPr>
          <w:rFonts w:asciiTheme="majorHAnsi" w:hAnsiTheme="majorHAnsi"/>
        </w:rPr>
        <w:t>ACCHS</w:t>
      </w:r>
      <w:r w:rsidRPr="00E963CA">
        <w:rPr>
          <w:rFonts w:asciiTheme="majorHAnsi" w:hAnsiTheme="majorHAnsi"/>
        </w:rPr>
        <w:t>s will ensure better outcomes for Aboriginal and Torres Strait Islander people</w:t>
      </w:r>
      <w:r>
        <w:rPr>
          <w:rFonts w:asciiTheme="majorHAnsi" w:hAnsiTheme="majorHAnsi"/>
        </w:rPr>
        <w:t xml:space="preserve"> (</w:t>
      </w:r>
      <w:proofErr w:type="spellStart"/>
      <w:r w:rsidRPr="002E695D">
        <w:rPr>
          <w:rFonts w:asciiTheme="majorHAnsi" w:hAnsiTheme="majorHAnsi"/>
        </w:rPr>
        <w:t>Myott</w:t>
      </w:r>
      <w:proofErr w:type="spellEnd"/>
      <w:r w:rsidRPr="002E695D">
        <w:rPr>
          <w:rFonts w:asciiTheme="majorHAnsi" w:hAnsiTheme="majorHAnsi"/>
        </w:rPr>
        <w:t xml:space="preserve"> et al 2015).</w:t>
      </w:r>
      <w:r>
        <w:rPr>
          <w:rFonts w:asciiTheme="majorHAnsi" w:hAnsiTheme="majorHAnsi"/>
        </w:rPr>
        <w:t xml:space="preserve"> ACCHSs are 23 per cent better at attracting and retaining Aboriginal and Torres Strait Islander clients than mainstream providers (Ong et al 2012; Campbell et al 2017; AHMAC 2017).  </w:t>
      </w:r>
    </w:p>
    <w:p w14:paraId="14DF6E6D" w14:textId="4AB4745A" w:rsidR="001174D1" w:rsidRPr="00055C74" w:rsidRDefault="001174D1" w:rsidP="001174D1">
      <w:pPr>
        <w:ind w:right="352"/>
        <w:rPr>
          <w:rFonts w:asciiTheme="majorHAnsi" w:hAnsiTheme="majorHAnsi" w:cstheme="majorHAnsi"/>
          <w:iCs/>
          <w:lang w:val="en-US"/>
        </w:rPr>
      </w:pPr>
      <w:r w:rsidRPr="00E963CA">
        <w:rPr>
          <w:rFonts w:asciiTheme="majorHAnsi" w:hAnsiTheme="majorHAnsi" w:cstheme="majorHAnsi"/>
          <w:iCs/>
          <w:lang w:val="en-US"/>
        </w:rPr>
        <w:t xml:space="preserve">At </w:t>
      </w:r>
      <w:r>
        <w:rPr>
          <w:rFonts w:asciiTheme="majorHAnsi" w:hAnsiTheme="majorHAnsi" w:cstheme="majorHAnsi"/>
          <w:iCs/>
          <w:lang w:val="en-US"/>
        </w:rPr>
        <w:t>the current pace, it</w:t>
      </w:r>
      <w:r w:rsidRPr="00E963CA">
        <w:rPr>
          <w:rFonts w:asciiTheme="majorHAnsi" w:hAnsiTheme="majorHAnsi" w:cstheme="majorHAnsi"/>
          <w:iCs/>
          <w:lang w:val="en-US"/>
        </w:rPr>
        <w:t xml:space="preserve"> will take a long time to transition all government-run clinics to community control. </w:t>
      </w:r>
      <w:r>
        <w:rPr>
          <w:rFonts w:asciiTheme="majorHAnsi" w:hAnsiTheme="majorHAnsi"/>
        </w:rPr>
        <w:t xml:space="preserve">Yet most </w:t>
      </w:r>
      <w:r w:rsidRPr="00E963CA">
        <w:rPr>
          <w:rFonts w:asciiTheme="majorHAnsi" w:hAnsiTheme="majorHAnsi" w:cstheme="majorHAnsi"/>
          <w:iCs/>
          <w:lang w:val="en-US"/>
        </w:rPr>
        <w:t>government-run</w:t>
      </w:r>
      <w:r>
        <w:rPr>
          <w:rFonts w:asciiTheme="majorHAnsi" w:hAnsiTheme="majorHAnsi" w:cstheme="majorHAnsi"/>
          <w:iCs/>
          <w:lang w:val="en-US"/>
        </w:rPr>
        <w:t xml:space="preserve"> clinics are in remote settings</w:t>
      </w:r>
      <w:r w:rsidRPr="00E963CA">
        <w:rPr>
          <w:rFonts w:asciiTheme="majorHAnsi" w:hAnsiTheme="majorHAnsi" w:cstheme="majorHAnsi"/>
          <w:iCs/>
          <w:lang w:val="en-US"/>
        </w:rPr>
        <w:t xml:space="preserve"> which means that</w:t>
      </w:r>
      <w:r>
        <w:rPr>
          <w:rFonts w:asciiTheme="majorHAnsi" w:hAnsiTheme="majorHAnsi" w:cstheme="majorHAnsi"/>
          <w:iCs/>
          <w:lang w:val="en-US"/>
        </w:rPr>
        <w:t>, under the ACCHS model</w:t>
      </w:r>
      <w:r w:rsidRPr="00E963CA">
        <w:rPr>
          <w:rFonts w:asciiTheme="majorHAnsi" w:hAnsiTheme="majorHAnsi" w:cstheme="majorHAnsi"/>
          <w:iCs/>
          <w:lang w:val="en-US"/>
        </w:rPr>
        <w:t xml:space="preserve"> which delivers a fourfold cost benefit compared to the mainstream service in remote areas</w:t>
      </w:r>
      <w:r>
        <w:rPr>
          <w:rFonts w:asciiTheme="majorHAnsi" w:hAnsiTheme="majorHAnsi" w:cstheme="majorHAnsi"/>
          <w:iCs/>
          <w:lang w:val="en-US"/>
        </w:rPr>
        <w:t xml:space="preserve"> (</w:t>
      </w:r>
      <w:proofErr w:type="spellStart"/>
      <w:r>
        <w:rPr>
          <w:rFonts w:asciiTheme="majorHAnsi" w:hAnsiTheme="majorHAnsi" w:cstheme="majorHAnsi"/>
          <w:iCs/>
          <w:lang w:val="en-US"/>
        </w:rPr>
        <w:t>Vos</w:t>
      </w:r>
      <w:proofErr w:type="spellEnd"/>
      <w:r>
        <w:rPr>
          <w:rFonts w:asciiTheme="majorHAnsi" w:hAnsiTheme="majorHAnsi" w:cstheme="majorHAnsi"/>
          <w:iCs/>
          <w:lang w:val="en-US"/>
        </w:rPr>
        <w:t xml:space="preserve"> et al 2010; Ong et al 2012)</w:t>
      </w:r>
      <w:r w:rsidRPr="00E963CA">
        <w:rPr>
          <w:rFonts w:asciiTheme="majorHAnsi" w:hAnsiTheme="majorHAnsi" w:cstheme="majorHAnsi"/>
          <w:iCs/>
          <w:lang w:val="en-US"/>
        </w:rPr>
        <w:t xml:space="preserve">, the efficiencies </w:t>
      </w:r>
      <w:r>
        <w:rPr>
          <w:rFonts w:asciiTheme="majorHAnsi" w:hAnsiTheme="majorHAnsi" w:cstheme="majorHAnsi"/>
          <w:iCs/>
          <w:lang w:val="en-US"/>
        </w:rPr>
        <w:t xml:space="preserve">gained would </w:t>
      </w:r>
      <w:r w:rsidRPr="00E963CA">
        <w:rPr>
          <w:rFonts w:asciiTheme="majorHAnsi" w:hAnsiTheme="majorHAnsi" w:cstheme="majorHAnsi"/>
          <w:iCs/>
          <w:lang w:val="en-US"/>
        </w:rPr>
        <w:t>be significant.</w:t>
      </w:r>
      <w:r>
        <w:rPr>
          <w:rFonts w:asciiTheme="majorHAnsi" w:hAnsiTheme="majorHAnsi" w:cstheme="majorHAnsi"/>
          <w:iCs/>
          <w:lang w:val="en-US"/>
        </w:rPr>
        <w:t xml:space="preserve">  Additional career pathways and professional development opportunities will become available in </w:t>
      </w:r>
      <w:r w:rsidRPr="00055C74">
        <w:rPr>
          <w:rFonts w:asciiTheme="majorHAnsi" w:hAnsiTheme="majorHAnsi" w:cstheme="majorHAnsi"/>
          <w:iCs/>
          <w:lang w:val="en-US"/>
        </w:rPr>
        <w:t xml:space="preserve">clinical and non-clinical roles. Leadership pipelines and succession planning should be as visible and reliable in this sector as in the mainstream health sector. </w:t>
      </w:r>
    </w:p>
    <w:p w14:paraId="4F525A7C" w14:textId="1C949663" w:rsidR="00C416AD" w:rsidRPr="00AB08AC" w:rsidRDefault="004F1280" w:rsidP="00AB08AC">
      <w:pPr>
        <w:pStyle w:val="Heading3"/>
        <w:numPr>
          <w:ilvl w:val="0"/>
          <w:numId w:val="0"/>
        </w:numPr>
        <w:ind w:left="357" w:hanging="357"/>
        <w:rPr>
          <w:b/>
          <w:color w:val="1F3864" w:themeColor="accent1" w:themeShade="80"/>
          <w:szCs w:val="26"/>
        </w:rPr>
      </w:pPr>
      <w:bookmarkStart w:id="26" w:name="_Toc86927081"/>
      <w:bookmarkStart w:id="27" w:name="_Toc88818196"/>
      <w:r>
        <w:rPr>
          <w:b/>
          <w:color w:val="1F3864" w:themeColor="accent1" w:themeShade="80"/>
          <w:szCs w:val="26"/>
        </w:rPr>
        <w:t xml:space="preserve">E. </w:t>
      </w:r>
      <w:r w:rsidR="00BB4589" w:rsidRPr="00AB08AC">
        <w:rPr>
          <w:b/>
          <w:color w:val="1F3864" w:themeColor="accent1" w:themeShade="80"/>
          <w:szCs w:val="26"/>
        </w:rPr>
        <w:t>G</w:t>
      </w:r>
      <w:r w:rsidR="00AB08AC">
        <w:rPr>
          <w:b/>
          <w:color w:val="1F3864" w:themeColor="accent1" w:themeShade="80"/>
          <w:szCs w:val="26"/>
        </w:rPr>
        <w:t>overnance</w:t>
      </w:r>
      <w:bookmarkEnd w:id="26"/>
      <w:bookmarkEnd w:id="27"/>
    </w:p>
    <w:p w14:paraId="25E1DB96" w14:textId="77777777" w:rsidR="001174D1" w:rsidRDefault="001174D1" w:rsidP="001174D1">
      <w:pPr>
        <w:rPr>
          <w:rFonts w:asciiTheme="majorHAnsi" w:hAnsiTheme="majorHAnsi" w:cstheme="majorHAnsi"/>
          <w:iCs/>
          <w:lang w:val="en-US"/>
        </w:rPr>
      </w:pPr>
      <w:r>
        <w:rPr>
          <w:rFonts w:asciiTheme="majorHAnsi" w:hAnsiTheme="majorHAnsi" w:cstheme="majorHAnsi"/>
          <w:iCs/>
          <w:lang w:val="en-US"/>
        </w:rPr>
        <w:t xml:space="preserve">The Aboriginal and Torres Strait Islander </w:t>
      </w:r>
      <w:r w:rsidRPr="00027CD5">
        <w:rPr>
          <w:rFonts w:asciiTheme="majorHAnsi" w:hAnsiTheme="majorHAnsi" w:cstheme="majorHAnsi"/>
          <w:iCs/>
          <w:lang w:val="en-US"/>
        </w:rPr>
        <w:t xml:space="preserve">community-controlled </w:t>
      </w:r>
      <w:r>
        <w:rPr>
          <w:rFonts w:asciiTheme="majorHAnsi" w:hAnsiTheme="majorHAnsi" w:cstheme="majorHAnsi"/>
          <w:iCs/>
          <w:lang w:val="en-US"/>
        </w:rPr>
        <w:t xml:space="preserve">health </w:t>
      </w:r>
      <w:r w:rsidRPr="00027CD5">
        <w:rPr>
          <w:rFonts w:asciiTheme="majorHAnsi" w:hAnsiTheme="majorHAnsi" w:cstheme="majorHAnsi"/>
          <w:iCs/>
          <w:lang w:val="en-US"/>
        </w:rPr>
        <w:t xml:space="preserve">sector </w:t>
      </w:r>
      <w:r>
        <w:rPr>
          <w:rFonts w:asciiTheme="majorHAnsi" w:hAnsiTheme="majorHAnsi" w:cstheme="majorHAnsi"/>
          <w:iCs/>
          <w:lang w:val="en-US"/>
        </w:rPr>
        <w:t>is</w:t>
      </w:r>
      <w:r w:rsidRPr="00027CD5">
        <w:rPr>
          <w:rFonts w:asciiTheme="majorHAnsi" w:hAnsiTheme="majorHAnsi" w:cstheme="majorHAnsi"/>
          <w:iCs/>
          <w:lang w:val="en-US"/>
        </w:rPr>
        <w:t xml:space="preserve"> mature</w:t>
      </w:r>
      <w:r>
        <w:rPr>
          <w:rFonts w:asciiTheme="majorHAnsi" w:hAnsiTheme="majorHAnsi" w:cstheme="majorHAnsi"/>
          <w:iCs/>
          <w:lang w:val="en-US"/>
        </w:rPr>
        <w:t>,</w:t>
      </w:r>
      <w:r w:rsidRPr="00027CD5">
        <w:rPr>
          <w:rFonts w:asciiTheme="majorHAnsi" w:hAnsiTheme="majorHAnsi" w:cstheme="majorHAnsi"/>
          <w:iCs/>
          <w:lang w:val="en-US"/>
        </w:rPr>
        <w:t xml:space="preserve"> used to leading, has a long-term vision, and partners transparently, respectfully and effectively with mainstream services and governments</w:t>
      </w:r>
      <w:r w:rsidRPr="0064510B">
        <w:rPr>
          <w:rFonts w:asciiTheme="majorHAnsi" w:hAnsiTheme="majorHAnsi" w:cstheme="majorHAnsi"/>
          <w:iCs/>
          <w:lang w:val="en-US"/>
        </w:rPr>
        <w:t xml:space="preserve">.  </w:t>
      </w:r>
    </w:p>
    <w:p w14:paraId="5BCD102F" w14:textId="07E08DB8" w:rsidR="001174D1" w:rsidRDefault="001174D1" w:rsidP="001174D1">
      <w:pPr>
        <w:rPr>
          <w:rFonts w:asciiTheme="majorHAnsi" w:hAnsiTheme="majorHAnsi" w:cstheme="majorHAnsi"/>
          <w:iCs/>
          <w:lang w:val="en-US"/>
        </w:rPr>
      </w:pPr>
      <w:r w:rsidRPr="0064510B">
        <w:rPr>
          <w:rFonts w:asciiTheme="majorHAnsi" w:hAnsiTheme="majorHAnsi" w:cstheme="majorHAnsi"/>
          <w:iCs/>
          <w:lang w:val="en-US"/>
        </w:rPr>
        <w:t xml:space="preserve">From 2021 to 2031, the Aboriginal and Torres Strait Islander community-controlled health sectors aims to contribute significantly to the </w:t>
      </w:r>
      <w:r w:rsidRPr="0064510B">
        <w:rPr>
          <w:rFonts w:asciiTheme="majorHAnsi" w:hAnsiTheme="majorHAnsi" w:cstheme="majorHAnsi"/>
          <w:bCs/>
          <w:i/>
          <w:iCs/>
          <w:lang w:val="en-US"/>
        </w:rPr>
        <w:t>National Aboriginal and Torres Strait Islander Health Plan 2021–2031</w:t>
      </w:r>
      <w:r w:rsidRPr="0064510B">
        <w:rPr>
          <w:rFonts w:asciiTheme="majorHAnsi" w:hAnsiTheme="majorHAnsi" w:cstheme="majorHAnsi"/>
          <w:bCs/>
          <w:iCs/>
          <w:lang w:val="en-US"/>
        </w:rPr>
        <w:t xml:space="preserve"> and the developing </w:t>
      </w:r>
      <w:r w:rsidRPr="0064510B">
        <w:rPr>
          <w:rFonts w:asciiTheme="majorHAnsi" w:hAnsiTheme="majorHAnsi" w:cstheme="majorHAnsi"/>
          <w:bCs/>
          <w:i/>
          <w:iCs/>
          <w:lang w:val="en-US"/>
        </w:rPr>
        <w:t>National Aboriginal and Torres Strait Islander Health Workforce Strategic Framework and Implementation Plan 2021–2031.</w:t>
      </w:r>
      <w:r w:rsidRPr="0064510B">
        <w:rPr>
          <w:rFonts w:asciiTheme="majorHAnsi" w:hAnsiTheme="majorHAnsi" w:cstheme="majorHAnsi"/>
          <w:iCs/>
          <w:lang w:val="en-US"/>
        </w:rPr>
        <w:t xml:space="preserve"> To do so, the sector needs to function at peak corporate and clinical performance.</w:t>
      </w:r>
      <w:r>
        <w:rPr>
          <w:rFonts w:asciiTheme="majorHAnsi" w:hAnsiTheme="majorHAnsi" w:cstheme="majorHAnsi"/>
          <w:iCs/>
          <w:lang w:val="en-US"/>
        </w:rPr>
        <w:t xml:space="preserve">  </w:t>
      </w:r>
    </w:p>
    <w:p w14:paraId="421F2EFE" w14:textId="6E5CD602" w:rsidR="001174D1" w:rsidRPr="002548A7" w:rsidRDefault="001174D1" w:rsidP="001174D1">
      <w:pPr>
        <w:rPr>
          <w:rFonts w:asciiTheme="majorHAnsi" w:hAnsiTheme="majorHAnsi" w:cstheme="majorHAnsi"/>
          <w:iCs/>
          <w:lang w:val="en-US"/>
        </w:rPr>
      </w:pPr>
      <w:r w:rsidRPr="00027CD5">
        <w:rPr>
          <w:rFonts w:asciiTheme="majorHAnsi" w:hAnsiTheme="majorHAnsi" w:cstheme="majorHAnsi"/>
          <w:iCs/>
          <w:lang w:val="en-US"/>
        </w:rPr>
        <w:t xml:space="preserve">Key challenges include strengthening corporate governance capacity in communities </w:t>
      </w:r>
      <w:r>
        <w:rPr>
          <w:rFonts w:asciiTheme="majorHAnsi" w:hAnsiTheme="majorHAnsi" w:cstheme="majorHAnsi"/>
          <w:iCs/>
          <w:lang w:val="en-US"/>
        </w:rPr>
        <w:t xml:space="preserve">and </w:t>
      </w:r>
      <w:r w:rsidRPr="00027CD5">
        <w:rPr>
          <w:rFonts w:asciiTheme="majorHAnsi" w:hAnsiTheme="majorHAnsi" w:cstheme="majorHAnsi"/>
          <w:iCs/>
          <w:lang w:val="en-US"/>
        </w:rPr>
        <w:t>embracing leadership development including emerging leaders.</w:t>
      </w:r>
      <w:r w:rsidRPr="00027CD5">
        <w:rPr>
          <w:rFonts w:asciiTheme="majorHAnsi" w:hAnsiTheme="majorHAnsi"/>
          <w:lang w:val="en-US"/>
        </w:rPr>
        <w:t xml:space="preserve"> Due to inequitable access to community-controlled health services, not every Aboriginal and Torres Strait Islander person has this</w:t>
      </w:r>
      <w:r w:rsidRPr="00D318EB">
        <w:rPr>
          <w:rFonts w:asciiTheme="majorHAnsi" w:hAnsiTheme="majorHAnsi"/>
          <w:lang w:val="en-US"/>
        </w:rPr>
        <w:t xml:space="preserve"> choice. </w:t>
      </w:r>
      <w:r w:rsidRPr="00E963CA">
        <w:rPr>
          <w:rFonts w:asciiTheme="majorHAnsi" w:hAnsiTheme="majorHAnsi"/>
        </w:rPr>
        <w:t xml:space="preserve">Transitioning </w:t>
      </w:r>
      <w:r>
        <w:rPr>
          <w:rFonts w:asciiTheme="majorHAnsi" w:hAnsiTheme="majorHAnsi"/>
        </w:rPr>
        <w:t xml:space="preserve">existing </w:t>
      </w:r>
      <w:r w:rsidRPr="00E963CA">
        <w:rPr>
          <w:rFonts w:asciiTheme="majorHAnsi" w:hAnsiTheme="majorHAnsi"/>
        </w:rPr>
        <w:t>government-run clinics to community control is an effective way to</w:t>
      </w:r>
      <w:r>
        <w:rPr>
          <w:rFonts w:asciiTheme="majorHAnsi" w:hAnsiTheme="majorHAnsi"/>
        </w:rPr>
        <w:t xml:space="preserve"> broaden this choice and maximise health impact. Ensuring a valid method to identify locations where new community-controlled health services are required is another vital challenge in achieving Priority Reform 2. </w:t>
      </w:r>
      <w:r w:rsidRPr="006D5F96">
        <w:rPr>
          <w:rFonts w:asciiTheme="majorHAnsi" w:hAnsiTheme="majorHAnsi"/>
        </w:rPr>
        <w:t>A review of peak bodies was undertaken in 2016 that proposed a new model where the Australian government</w:t>
      </w:r>
      <w:r w:rsidRPr="002548A7">
        <w:rPr>
          <w:rFonts w:asciiTheme="majorHAnsi" w:hAnsiTheme="majorHAnsi"/>
        </w:rPr>
        <w:t xml:space="preserve"> now shares information early about ‘services of concern’ with NACCHO and the relevant state/territory peak body. Early governance support reduces the costs of administrators or other external assistance. Strengthening deep and enduring capacity in communities for self-determination prevents the risk of ‘services of concern’.</w:t>
      </w:r>
    </w:p>
    <w:p w14:paraId="3007041E" w14:textId="39E7EC4F" w:rsidR="00C416AD" w:rsidRPr="00AB08AC" w:rsidRDefault="004F1280" w:rsidP="00AB08AC">
      <w:pPr>
        <w:pStyle w:val="Heading3"/>
        <w:numPr>
          <w:ilvl w:val="0"/>
          <w:numId w:val="0"/>
        </w:numPr>
        <w:ind w:left="357" w:hanging="357"/>
        <w:rPr>
          <w:b/>
          <w:color w:val="1F3864" w:themeColor="accent1" w:themeShade="80"/>
          <w:szCs w:val="26"/>
        </w:rPr>
      </w:pPr>
      <w:bookmarkStart w:id="28" w:name="_Toc86927082"/>
      <w:bookmarkStart w:id="29" w:name="_Toc88818197"/>
      <w:r>
        <w:rPr>
          <w:b/>
          <w:color w:val="1F3864" w:themeColor="accent1" w:themeShade="80"/>
          <w:szCs w:val="26"/>
        </w:rPr>
        <w:t xml:space="preserve">F. </w:t>
      </w:r>
      <w:r w:rsidR="00BB4589" w:rsidRPr="00AB08AC">
        <w:rPr>
          <w:b/>
          <w:color w:val="1F3864" w:themeColor="accent1" w:themeShade="80"/>
          <w:szCs w:val="26"/>
        </w:rPr>
        <w:t>P</w:t>
      </w:r>
      <w:r w:rsidR="00AB08AC">
        <w:rPr>
          <w:b/>
          <w:color w:val="1F3864" w:themeColor="accent1" w:themeShade="80"/>
          <w:szCs w:val="26"/>
        </w:rPr>
        <w:t>eak body</w:t>
      </w:r>
      <w:bookmarkEnd w:id="28"/>
      <w:bookmarkEnd w:id="29"/>
    </w:p>
    <w:p w14:paraId="4D610C8F" w14:textId="7A8AE9E2" w:rsidR="001174D1" w:rsidRDefault="001174D1" w:rsidP="001174D1">
      <w:pPr>
        <w:ind w:right="352"/>
        <w:rPr>
          <w:rFonts w:asciiTheme="majorHAnsi" w:hAnsiTheme="majorHAnsi" w:cstheme="majorHAnsi"/>
          <w:iCs/>
          <w:lang w:val="en-US"/>
        </w:rPr>
      </w:pPr>
      <w:r w:rsidRPr="00027CD5">
        <w:rPr>
          <w:rFonts w:asciiTheme="majorHAnsi" w:hAnsiTheme="majorHAnsi" w:cstheme="majorHAnsi"/>
          <w:iCs/>
          <w:lang w:val="en-US"/>
        </w:rPr>
        <w:t>There are longstanding and effective partnerships in place between NACCHO and other Aboriginal and Torres Strait Islander health workforce peak bodies</w:t>
      </w:r>
      <w:r w:rsidRPr="002548A7">
        <w:rPr>
          <w:rFonts w:asciiTheme="majorHAnsi" w:hAnsiTheme="majorHAnsi" w:cstheme="majorHAnsi"/>
          <w:iCs/>
          <w:lang w:val="en-US"/>
        </w:rPr>
        <w:t xml:space="preserve">. In addition, state and territory community-controlled health peaks also known as Sector Support </w:t>
      </w:r>
      <w:proofErr w:type="spellStart"/>
      <w:r w:rsidRPr="002548A7">
        <w:rPr>
          <w:rFonts w:asciiTheme="majorHAnsi" w:hAnsiTheme="majorHAnsi" w:cstheme="majorHAnsi"/>
          <w:iCs/>
          <w:lang w:val="en-US"/>
        </w:rPr>
        <w:t>Organisations</w:t>
      </w:r>
      <w:proofErr w:type="spellEnd"/>
      <w:r w:rsidRPr="002548A7">
        <w:rPr>
          <w:rFonts w:asciiTheme="majorHAnsi" w:hAnsiTheme="majorHAnsi" w:cstheme="majorHAnsi"/>
          <w:iCs/>
          <w:lang w:val="en-US"/>
        </w:rPr>
        <w:t xml:space="preserve"> are diverse </w:t>
      </w:r>
      <w:proofErr w:type="spellStart"/>
      <w:r w:rsidRPr="002548A7">
        <w:rPr>
          <w:rFonts w:asciiTheme="majorHAnsi" w:hAnsiTheme="majorHAnsi" w:cstheme="majorHAnsi"/>
          <w:iCs/>
          <w:lang w:val="en-US"/>
        </w:rPr>
        <w:t>organisations</w:t>
      </w:r>
      <w:proofErr w:type="spellEnd"/>
      <w:r w:rsidRPr="002548A7">
        <w:rPr>
          <w:rFonts w:asciiTheme="majorHAnsi" w:hAnsiTheme="majorHAnsi" w:cstheme="majorHAnsi"/>
          <w:iCs/>
          <w:lang w:val="en-US"/>
        </w:rPr>
        <w:t xml:space="preserve"> that are generally funded by both the </w:t>
      </w:r>
      <w:r>
        <w:rPr>
          <w:rFonts w:asciiTheme="majorHAnsi" w:hAnsiTheme="majorHAnsi" w:cstheme="majorHAnsi"/>
          <w:iCs/>
          <w:lang w:val="en-US"/>
        </w:rPr>
        <w:t xml:space="preserve">Australian Government </w:t>
      </w:r>
      <w:r w:rsidRPr="002548A7">
        <w:rPr>
          <w:rFonts w:asciiTheme="majorHAnsi" w:hAnsiTheme="majorHAnsi" w:cstheme="majorHAnsi"/>
          <w:iCs/>
          <w:lang w:val="en-US"/>
        </w:rPr>
        <w:t>and their respective state/territory government</w:t>
      </w:r>
      <w:r>
        <w:rPr>
          <w:rFonts w:asciiTheme="majorHAnsi" w:hAnsiTheme="majorHAnsi" w:cstheme="majorHAnsi"/>
          <w:iCs/>
          <w:lang w:val="en-US"/>
        </w:rPr>
        <w:t>s.</w:t>
      </w:r>
      <w:r w:rsidRPr="002548A7">
        <w:rPr>
          <w:rFonts w:asciiTheme="majorHAnsi" w:hAnsiTheme="majorHAnsi" w:cstheme="majorHAnsi"/>
          <w:iCs/>
          <w:lang w:val="en-US"/>
        </w:rPr>
        <w:t xml:space="preserve"> </w:t>
      </w:r>
    </w:p>
    <w:p w14:paraId="6C45B4D9" w14:textId="77777777" w:rsidR="001174D1" w:rsidRDefault="001174D1" w:rsidP="001174D1">
      <w:pPr>
        <w:ind w:right="352"/>
        <w:rPr>
          <w:rFonts w:asciiTheme="majorHAnsi" w:hAnsiTheme="majorHAnsi" w:cstheme="majorHAnsi"/>
          <w:iCs/>
          <w:lang w:val="en-US"/>
        </w:rPr>
      </w:pPr>
      <w:r w:rsidRPr="002548A7">
        <w:rPr>
          <w:rFonts w:asciiTheme="majorHAnsi" w:hAnsiTheme="majorHAnsi" w:cstheme="majorHAnsi"/>
          <w:iCs/>
          <w:lang w:val="en-US"/>
        </w:rPr>
        <w:lastRenderedPageBreak/>
        <w:t xml:space="preserve">To achieve Priority Reform 1 through effective partnerships and shared decision-making, high-performing sector peak bodies are required at every jurisdictional level. Sector Support </w:t>
      </w:r>
      <w:proofErr w:type="spellStart"/>
      <w:r w:rsidRPr="002548A7">
        <w:rPr>
          <w:rFonts w:asciiTheme="majorHAnsi" w:hAnsiTheme="majorHAnsi" w:cstheme="majorHAnsi"/>
          <w:iCs/>
          <w:lang w:val="en-US"/>
        </w:rPr>
        <w:t>Organisations</w:t>
      </w:r>
      <w:proofErr w:type="spellEnd"/>
      <w:r w:rsidRPr="002548A7">
        <w:rPr>
          <w:rFonts w:asciiTheme="majorHAnsi" w:hAnsiTheme="majorHAnsi" w:cstheme="majorHAnsi"/>
          <w:iCs/>
          <w:lang w:val="en-US"/>
        </w:rPr>
        <w:t xml:space="preserve"> have a key role in providing tailored support to build the capacity of ACCHSs in their jurisdiction to deliver high quality comprehensive primary health care on a sustainable basis.</w:t>
      </w:r>
    </w:p>
    <w:p w14:paraId="4E12AA68" w14:textId="3E3B7751" w:rsidR="001174D1" w:rsidRPr="00EF52C3" w:rsidRDefault="001174D1" w:rsidP="001174D1">
      <w:pPr>
        <w:ind w:right="352"/>
        <w:rPr>
          <w:rFonts w:asciiTheme="majorHAnsi" w:hAnsiTheme="majorHAnsi" w:cstheme="majorHAnsi"/>
          <w:iCs/>
          <w:lang w:val="en-US"/>
        </w:rPr>
      </w:pPr>
      <w:r w:rsidRPr="002548A7">
        <w:rPr>
          <w:rFonts w:asciiTheme="majorHAnsi" w:hAnsiTheme="majorHAnsi" w:cstheme="majorHAnsi"/>
          <w:iCs/>
          <w:lang w:val="en-US"/>
        </w:rPr>
        <w:t>ACCHSs have indicated continuing capacity need, particularly requesting support to deliver better clinical care and preventive health activities, including workforce development and data capability. In building sector capability, one of the key challenges identified by ACCHS</w:t>
      </w:r>
      <w:r>
        <w:rPr>
          <w:rFonts w:asciiTheme="majorHAnsi" w:hAnsiTheme="majorHAnsi" w:cstheme="majorHAnsi"/>
          <w:iCs/>
          <w:lang w:val="en-US"/>
        </w:rPr>
        <w:t xml:space="preserve">s is for </w:t>
      </w:r>
      <w:r w:rsidRPr="002548A7">
        <w:rPr>
          <w:rFonts w:asciiTheme="majorHAnsi" w:hAnsiTheme="majorHAnsi" w:cstheme="majorHAnsi"/>
          <w:iCs/>
          <w:lang w:val="en-US"/>
        </w:rPr>
        <w:t xml:space="preserve">support to be equitable across metropolitan, rural and remote/very remote ACCHSs (Nous 2016). An additional </w:t>
      </w:r>
      <w:r w:rsidRPr="00351311">
        <w:rPr>
          <w:rFonts w:asciiTheme="majorHAnsi" w:hAnsiTheme="majorHAnsi" w:cstheme="majorHAnsi"/>
          <w:iCs/>
          <w:lang w:val="en-US"/>
        </w:rPr>
        <w:t xml:space="preserve">challenge in the context of the National Agreement </w:t>
      </w:r>
      <w:r>
        <w:rPr>
          <w:rFonts w:asciiTheme="majorHAnsi" w:hAnsiTheme="majorHAnsi" w:cstheme="majorHAnsi"/>
          <w:iCs/>
          <w:lang w:val="en-US"/>
        </w:rPr>
        <w:t xml:space="preserve">is the need for </w:t>
      </w:r>
      <w:r w:rsidRPr="002548A7">
        <w:rPr>
          <w:rFonts w:asciiTheme="majorHAnsi" w:hAnsiTheme="majorHAnsi" w:cstheme="majorHAnsi"/>
          <w:iCs/>
          <w:lang w:val="en-US"/>
        </w:rPr>
        <w:t>structural reform including progress in achieving permanent</w:t>
      </w:r>
      <w:r w:rsidRPr="00027CD5">
        <w:rPr>
          <w:rFonts w:asciiTheme="majorHAnsi" w:hAnsiTheme="majorHAnsi" w:cstheme="majorHAnsi"/>
          <w:iCs/>
          <w:lang w:val="en-US"/>
        </w:rPr>
        <w:t xml:space="preserve">, high-level </w:t>
      </w:r>
      <w:r>
        <w:rPr>
          <w:rFonts w:asciiTheme="majorHAnsi" w:hAnsiTheme="majorHAnsi" w:cstheme="majorHAnsi"/>
          <w:iCs/>
          <w:lang w:val="en-US"/>
        </w:rPr>
        <w:t xml:space="preserve">and qualified </w:t>
      </w:r>
      <w:r w:rsidRPr="00027CD5">
        <w:rPr>
          <w:rFonts w:asciiTheme="majorHAnsi" w:hAnsiTheme="majorHAnsi" w:cstheme="majorHAnsi"/>
          <w:iCs/>
          <w:lang w:val="en-US"/>
        </w:rPr>
        <w:t>representation on mainstream decision-making bodies whose deliberations affect the health and wellbeing of Aboriginal and Torres Strait Islander p</w:t>
      </w:r>
      <w:r>
        <w:rPr>
          <w:rFonts w:asciiTheme="majorHAnsi" w:hAnsiTheme="majorHAnsi" w:cstheme="majorHAnsi"/>
          <w:iCs/>
          <w:lang w:val="en-US"/>
        </w:rPr>
        <w:t>eople</w:t>
      </w:r>
      <w:r w:rsidRPr="00027CD5">
        <w:rPr>
          <w:rFonts w:asciiTheme="majorHAnsi" w:hAnsiTheme="majorHAnsi" w:cstheme="majorHAnsi"/>
          <w:iCs/>
          <w:lang w:val="en-US"/>
        </w:rPr>
        <w:t xml:space="preserve">. </w:t>
      </w:r>
      <w:r w:rsidRPr="00EF52C3">
        <w:rPr>
          <w:rFonts w:asciiTheme="majorHAnsi" w:hAnsiTheme="majorHAnsi" w:cstheme="majorHAnsi"/>
          <w:iCs/>
          <w:lang w:val="en-US"/>
        </w:rPr>
        <w:t xml:space="preserve">These representatives must be appointed through agreed processes </w:t>
      </w:r>
      <w:r>
        <w:rPr>
          <w:rFonts w:asciiTheme="majorHAnsi" w:hAnsiTheme="majorHAnsi" w:cstheme="majorHAnsi"/>
          <w:iCs/>
          <w:lang w:val="en-US"/>
        </w:rPr>
        <w:t xml:space="preserve">determined </w:t>
      </w:r>
      <w:r w:rsidRPr="00EF52C3">
        <w:rPr>
          <w:rFonts w:asciiTheme="majorHAnsi" w:hAnsiTheme="majorHAnsi" w:cstheme="majorHAnsi"/>
          <w:iCs/>
          <w:lang w:val="en-US"/>
        </w:rPr>
        <w:t>by the sector</w:t>
      </w:r>
      <w:r>
        <w:rPr>
          <w:rFonts w:asciiTheme="majorHAnsi" w:hAnsiTheme="majorHAnsi" w:cstheme="majorHAnsi"/>
          <w:iCs/>
          <w:lang w:val="en-US"/>
        </w:rPr>
        <w:t>.</w:t>
      </w:r>
      <w:r w:rsidRPr="00EF52C3">
        <w:rPr>
          <w:rFonts w:asciiTheme="majorHAnsi" w:hAnsiTheme="majorHAnsi" w:cstheme="majorHAnsi"/>
          <w:iCs/>
          <w:lang w:val="en-US"/>
        </w:rPr>
        <w:t xml:space="preserve"> </w:t>
      </w:r>
    </w:p>
    <w:p w14:paraId="34EFBF12" w14:textId="51236047" w:rsidR="00414C97" w:rsidRPr="00724DFB" w:rsidRDefault="00BB4589" w:rsidP="00036CD7">
      <w:pPr>
        <w:pStyle w:val="h2"/>
      </w:pPr>
      <w:bookmarkStart w:id="30" w:name="_Toc88818198"/>
      <w:r w:rsidRPr="00724DFB">
        <w:t>B</w:t>
      </w:r>
      <w:r w:rsidR="00AB08AC" w:rsidRPr="00724DFB">
        <w:t>eyond the health sector</w:t>
      </w:r>
      <w:bookmarkEnd w:id="30"/>
    </w:p>
    <w:p w14:paraId="1E27889A" w14:textId="6DB03C89" w:rsidR="001174D1" w:rsidRPr="001174D1" w:rsidRDefault="001174D1" w:rsidP="001174D1">
      <w:pPr>
        <w:rPr>
          <w:lang w:val="en-AU"/>
        </w:rPr>
      </w:pPr>
      <w:r>
        <w:rPr>
          <w:rFonts w:asciiTheme="majorHAnsi" w:hAnsiTheme="majorHAnsi" w:cstheme="majorHAnsi"/>
          <w:iCs/>
        </w:rPr>
        <w:t>Closing the G</w:t>
      </w:r>
      <w:r w:rsidRPr="00C21594">
        <w:rPr>
          <w:rFonts w:asciiTheme="majorHAnsi" w:hAnsiTheme="majorHAnsi" w:cstheme="majorHAnsi"/>
          <w:iCs/>
        </w:rPr>
        <w:t xml:space="preserve">ap on Aboriginal and Torres Strait Islander health and disadvantage will never be achieved until Aboriginal and Torres Strait Islander people are afforded their rights to live in safe and </w:t>
      </w:r>
      <w:r w:rsidRPr="002548A7">
        <w:rPr>
          <w:rFonts w:asciiTheme="majorHAnsi" w:hAnsiTheme="majorHAnsi" w:cstheme="majorHAnsi"/>
          <w:iCs/>
        </w:rPr>
        <w:t>secure housing; their children flourish through early childhood programs and are ready for and participate in school, and throughout their lives everyone can access culturally safe and trusted early intervention, preventive and wrap-around services to meet their psychological, social, emotional and spiritual needs. This holistic approach means that successful implementation of this Health-SSP rests on an expectation that</w:t>
      </w:r>
      <w:r w:rsidRPr="00C21594">
        <w:rPr>
          <w:rFonts w:asciiTheme="majorHAnsi" w:hAnsiTheme="majorHAnsi" w:cstheme="majorHAnsi"/>
          <w:iCs/>
        </w:rPr>
        <w:t xml:space="preserve"> the PWG maintains a clear line of sight across all sector strengthening plans to ensure synergies and cross-linkages. In turn, the Joint Council should expect progress across all 17 socioeconomic targets it has identified. Lack of progress in any one of these will compromise achievement in many of the others.</w:t>
      </w:r>
    </w:p>
    <w:p w14:paraId="6A59F1BD" w14:textId="03C63EC9" w:rsidR="00D1270F" w:rsidRDefault="005D5FDE" w:rsidP="00036CD7">
      <w:pPr>
        <w:pStyle w:val="h2"/>
      </w:pPr>
      <w:bookmarkStart w:id="31" w:name="_Toc79523344"/>
      <w:bookmarkStart w:id="32" w:name="_Toc88818199"/>
      <w:r>
        <w:t>Objectives of the Sector Strengthening Plan</w:t>
      </w:r>
      <w:bookmarkEnd w:id="31"/>
      <w:bookmarkEnd w:id="32"/>
    </w:p>
    <w:p w14:paraId="2A38AAA2" w14:textId="793BF0BC" w:rsidR="001174D1" w:rsidRDefault="001174D1" w:rsidP="001174D1">
      <w:pPr>
        <w:ind w:right="352"/>
        <w:rPr>
          <w:rFonts w:asciiTheme="majorHAnsi" w:hAnsiTheme="majorHAnsi" w:cstheme="majorBidi"/>
        </w:rPr>
      </w:pPr>
      <w:r w:rsidRPr="001A1CE7">
        <w:rPr>
          <w:rFonts w:asciiTheme="majorHAnsi" w:hAnsiTheme="majorHAnsi" w:cstheme="majorBidi"/>
        </w:rPr>
        <w:t xml:space="preserve">This three-year Health-SSP presents 17 transformative sector strengthening actions. </w:t>
      </w:r>
      <w:r w:rsidRPr="001A1CE7">
        <w:rPr>
          <w:rFonts w:ascii="Calibri Light" w:eastAsia="Calibri Light" w:hAnsi="Calibri Light" w:cs="Calibri Light"/>
        </w:rPr>
        <w:t xml:space="preserve">Through strong consultation across the Aboriginal and Torres Strait Islander community-controlled health sector and other Aboriginal and Torres Strait Islander health organisations, and through state, territory and Australian governments, the Health-SSP is ready to be used as a resource for partnership actions including consideration of actions as appropriate for inclusion in future Closing the Gap Implementation Plans, acknowledging that jurisdictions need flexibility in their Implementation Plans to ensure alignment to existing strategic initiatives and policy reform using these existing strong foundations. </w:t>
      </w:r>
      <w:r w:rsidRPr="001A1CE7">
        <w:rPr>
          <w:rFonts w:asciiTheme="majorHAnsi" w:hAnsiTheme="majorHAnsi"/>
        </w:rPr>
        <w:t xml:space="preserve">Jurisdictional Virtual Funding Pools have </w:t>
      </w:r>
      <w:r>
        <w:rPr>
          <w:rFonts w:asciiTheme="majorHAnsi" w:hAnsiTheme="majorHAnsi"/>
        </w:rPr>
        <w:t xml:space="preserve">also </w:t>
      </w:r>
      <w:r w:rsidRPr="001A1CE7">
        <w:rPr>
          <w:rFonts w:asciiTheme="majorHAnsi" w:hAnsiTheme="majorHAnsi"/>
        </w:rPr>
        <w:t>been announced by each jurisdiction and represent opportunities to support actions presented here. Jurisdictions retain decision-making authority for the use of funds they allocate to their Virtual Funding Pool. Actions presented in this Health-SSP can be considered for support through</w:t>
      </w:r>
      <w:r>
        <w:rPr>
          <w:rFonts w:asciiTheme="majorHAnsi" w:hAnsiTheme="majorHAnsi"/>
        </w:rPr>
        <w:t xml:space="preserve"> these Virtual Funding Pools although</w:t>
      </w:r>
      <w:r w:rsidRPr="001A1CE7">
        <w:rPr>
          <w:rFonts w:asciiTheme="majorHAnsi" w:hAnsiTheme="majorHAnsi"/>
        </w:rPr>
        <w:t xml:space="preserve"> not exclusively if other resources can be identified. </w:t>
      </w:r>
      <w:r w:rsidRPr="001A1CE7">
        <w:rPr>
          <w:rFonts w:asciiTheme="majorHAnsi" w:hAnsiTheme="majorHAnsi" w:cstheme="majorBidi"/>
        </w:rPr>
        <w:t>The long-term objective of the Health-SSP is to build a strong community-controlled sector reflecting the four sector-strengthening elements outlined in the National Agreement.</w:t>
      </w:r>
      <w:r w:rsidRPr="00964CEC">
        <w:rPr>
          <w:rFonts w:asciiTheme="majorHAnsi" w:hAnsiTheme="majorHAnsi" w:cstheme="majorBidi"/>
        </w:rPr>
        <w:t xml:space="preserve"> </w:t>
      </w:r>
    </w:p>
    <w:p w14:paraId="55245967" w14:textId="77777777" w:rsidR="001047C3" w:rsidRPr="001047C3" w:rsidRDefault="001047C3" w:rsidP="001047C3">
      <w:pPr>
        <w:ind w:left="360" w:right="352" w:hanging="360"/>
        <w:rPr>
          <w:rFonts w:asciiTheme="majorHAnsi" w:hAnsiTheme="majorHAnsi" w:cstheme="majorBidi"/>
        </w:rPr>
      </w:pPr>
      <w:r w:rsidRPr="001047C3">
        <w:rPr>
          <w:rFonts w:asciiTheme="majorHAnsi" w:hAnsiTheme="majorHAnsi" w:cstheme="majorBidi"/>
        </w:rPr>
        <w:t xml:space="preserve">The four design principles applied by the HSSPWG in determining strategies are: </w:t>
      </w:r>
    </w:p>
    <w:p w14:paraId="56ED7EAF" w14:textId="77777777" w:rsidR="001047C3" w:rsidRPr="002548A7" w:rsidRDefault="001047C3" w:rsidP="001047C3">
      <w:pPr>
        <w:numPr>
          <w:ilvl w:val="0"/>
          <w:numId w:val="32"/>
        </w:numPr>
        <w:spacing w:before="0"/>
        <w:ind w:right="352"/>
        <w:rPr>
          <w:rFonts w:asciiTheme="majorHAnsi" w:hAnsiTheme="majorHAnsi" w:cstheme="majorBidi"/>
          <w:lang w:val="en-US"/>
        </w:rPr>
      </w:pPr>
      <w:r w:rsidRPr="002548A7">
        <w:rPr>
          <w:rFonts w:asciiTheme="majorHAnsi" w:hAnsiTheme="majorHAnsi" w:cstheme="majorBidi"/>
          <w:b/>
          <w:bCs/>
          <w:lang w:val="en-US"/>
        </w:rPr>
        <w:t>Align with existing co-designed strategies:</w:t>
      </w:r>
      <w:r w:rsidRPr="002548A7">
        <w:rPr>
          <w:rFonts w:asciiTheme="majorHAnsi" w:hAnsiTheme="majorHAnsi" w:cstheme="majorBidi"/>
          <w:lang w:val="en-US"/>
        </w:rPr>
        <w:t xml:space="preserve"> Sector-strengthening strategies must align with co-designed health frameworks and strategies including the National Agreement on </w:t>
      </w:r>
      <w:r w:rsidRPr="002548A7">
        <w:rPr>
          <w:rFonts w:asciiTheme="majorHAnsi" w:hAnsiTheme="majorHAnsi" w:cstheme="majorBidi"/>
          <w:lang w:val="en-US"/>
        </w:rPr>
        <w:lastRenderedPageBreak/>
        <w:t xml:space="preserve">Closing the Gap, the </w:t>
      </w:r>
      <w:r w:rsidRPr="002548A7">
        <w:rPr>
          <w:rFonts w:asciiTheme="majorHAnsi" w:hAnsiTheme="majorHAnsi" w:cstheme="majorBidi"/>
          <w:i/>
          <w:lang w:val="en-US"/>
        </w:rPr>
        <w:t>National Aboriginal and Torres Strait Islander Health Plan 2021–2031</w:t>
      </w:r>
      <w:r w:rsidRPr="002548A7">
        <w:rPr>
          <w:rFonts w:asciiTheme="majorHAnsi" w:hAnsiTheme="majorHAnsi" w:cstheme="majorBidi"/>
          <w:lang w:val="en-US"/>
        </w:rPr>
        <w:t xml:space="preserve">; the </w:t>
      </w:r>
      <w:r w:rsidRPr="002548A7">
        <w:rPr>
          <w:rFonts w:asciiTheme="majorHAnsi" w:hAnsiTheme="majorHAnsi" w:cstheme="majorBidi"/>
          <w:bCs/>
          <w:iCs/>
          <w:lang w:val="en-US"/>
        </w:rPr>
        <w:t xml:space="preserve">developing </w:t>
      </w:r>
      <w:r w:rsidRPr="002548A7">
        <w:rPr>
          <w:rFonts w:asciiTheme="majorHAnsi" w:hAnsiTheme="majorHAnsi" w:cstheme="majorBidi"/>
          <w:bCs/>
          <w:i/>
          <w:iCs/>
          <w:lang w:val="en-US"/>
        </w:rPr>
        <w:t xml:space="preserve">National Aboriginal and Torres Strait Islander Health Workforce Strategic Framework and Implementation Plan 2021–2031; </w:t>
      </w:r>
      <w:r w:rsidRPr="002548A7">
        <w:rPr>
          <w:rFonts w:asciiTheme="majorHAnsi" w:hAnsiTheme="majorHAnsi" w:cstheme="majorBidi"/>
          <w:lang w:val="en-US"/>
        </w:rPr>
        <w:t xml:space="preserve">Joint Council priorities and sector frameworks and policies. </w:t>
      </w:r>
    </w:p>
    <w:p w14:paraId="7021F4C2" w14:textId="77777777" w:rsidR="001047C3" w:rsidRPr="009D121F" w:rsidRDefault="001047C3" w:rsidP="001047C3">
      <w:pPr>
        <w:numPr>
          <w:ilvl w:val="0"/>
          <w:numId w:val="32"/>
        </w:numPr>
        <w:spacing w:before="0"/>
        <w:ind w:right="352"/>
        <w:rPr>
          <w:rFonts w:asciiTheme="majorHAnsi" w:hAnsiTheme="majorHAnsi" w:cstheme="majorHAnsi"/>
          <w:iCs/>
          <w:lang w:val="en-US"/>
        </w:rPr>
      </w:pPr>
      <w:r w:rsidRPr="00351311">
        <w:rPr>
          <w:rFonts w:asciiTheme="majorHAnsi" w:hAnsiTheme="majorHAnsi" w:cstheme="majorHAnsi"/>
          <w:b/>
          <w:iCs/>
          <w:lang w:val="en-US"/>
        </w:rPr>
        <w:t>Affirm community-controlled efforts:</w:t>
      </w:r>
      <w:r w:rsidRPr="00351311">
        <w:rPr>
          <w:rFonts w:asciiTheme="majorHAnsi" w:hAnsiTheme="majorHAnsi" w:cstheme="majorHAnsi"/>
          <w:iCs/>
          <w:lang w:val="en-US"/>
        </w:rPr>
        <w:t xml:space="preserve"> Sector</w:t>
      </w:r>
      <w:r w:rsidRPr="009D121F">
        <w:rPr>
          <w:rFonts w:asciiTheme="majorHAnsi" w:hAnsiTheme="majorHAnsi" w:cstheme="majorHAnsi"/>
          <w:iCs/>
          <w:lang w:val="en-US"/>
        </w:rPr>
        <w:t xml:space="preserve">-strengthening strategies must augment work valued by the Aboriginal and Torres Strait Islander community-controlled </w:t>
      </w:r>
      <w:r>
        <w:rPr>
          <w:rFonts w:asciiTheme="majorHAnsi" w:hAnsiTheme="majorHAnsi" w:cstheme="majorHAnsi"/>
          <w:iCs/>
          <w:lang w:val="en-US"/>
        </w:rPr>
        <w:t>health</w:t>
      </w:r>
      <w:r w:rsidRPr="009D121F">
        <w:rPr>
          <w:rFonts w:asciiTheme="majorHAnsi" w:hAnsiTheme="majorHAnsi" w:cstheme="majorHAnsi"/>
          <w:iCs/>
          <w:lang w:val="en-US"/>
        </w:rPr>
        <w:t xml:space="preserve"> sector </w:t>
      </w:r>
      <w:r>
        <w:rPr>
          <w:rFonts w:asciiTheme="majorHAnsi" w:hAnsiTheme="majorHAnsi" w:cstheme="majorHAnsi"/>
          <w:iCs/>
          <w:lang w:val="en-US"/>
        </w:rPr>
        <w:t xml:space="preserve">and other stakeholders </w:t>
      </w:r>
      <w:r w:rsidRPr="009D121F">
        <w:rPr>
          <w:rFonts w:asciiTheme="majorHAnsi" w:hAnsiTheme="majorHAnsi" w:cstheme="majorHAnsi"/>
          <w:iCs/>
          <w:lang w:val="en-US"/>
        </w:rPr>
        <w:t xml:space="preserve">that is already underway in each state and territory. </w:t>
      </w:r>
    </w:p>
    <w:p w14:paraId="61B7B9F9" w14:textId="77777777" w:rsidR="001047C3" w:rsidRPr="009D121F" w:rsidRDefault="001047C3" w:rsidP="001047C3">
      <w:pPr>
        <w:numPr>
          <w:ilvl w:val="0"/>
          <w:numId w:val="32"/>
        </w:numPr>
        <w:spacing w:before="0"/>
        <w:ind w:right="352"/>
        <w:rPr>
          <w:rFonts w:asciiTheme="majorHAnsi" w:hAnsiTheme="majorHAnsi" w:cstheme="majorHAnsi"/>
          <w:iCs/>
          <w:lang w:val="en-US"/>
        </w:rPr>
      </w:pPr>
      <w:r w:rsidRPr="009D121F">
        <w:rPr>
          <w:rFonts w:asciiTheme="majorHAnsi" w:hAnsiTheme="majorHAnsi" w:cstheme="majorHAnsi"/>
          <w:b/>
          <w:iCs/>
          <w:lang w:val="en-US"/>
        </w:rPr>
        <w:t>Grow equity:</w:t>
      </w:r>
      <w:r w:rsidRPr="009D121F">
        <w:rPr>
          <w:rFonts w:asciiTheme="majorHAnsi" w:hAnsiTheme="majorHAnsi" w:cstheme="majorHAnsi"/>
          <w:iCs/>
          <w:lang w:val="en-US"/>
        </w:rPr>
        <w:t xml:space="preserve"> Implementation of sector-strengthening strategies must not exacerbate inequity in the sector. </w:t>
      </w:r>
    </w:p>
    <w:p w14:paraId="60667D44" w14:textId="77777777" w:rsidR="001047C3" w:rsidRPr="009D121F" w:rsidRDefault="001047C3" w:rsidP="001047C3">
      <w:pPr>
        <w:numPr>
          <w:ilvl w:val="0"/>
          <w:numId w:val="32"/>
        </w:numPr>
        <w:spacing w:before="0"/>
        <w:ind w:right="352"/>
        <w:rPr>
          <w:rFonts w:asciiTheme="majorHAnsi" w:hAnsiTheme="majorHAnsi" w:cstheme="majorBidi"/>
          <w:lang w:val="en-US"/>
        </w:rPr>
      </w:pPr>
      <w:r w:rsidRPr="761D4DBD">
        <w:rPr>
          <w:rFonts w:asciiTheme="majorHAnsi" w:hAnsiTheme="majorHAnsi" w:cstheme="majorBidi"/>
          <w:b/>
          <w:bCs/>
          <w:lang w:val="en-US"/>
        </w:rPr>
        <w:t>Support self-determination and co-design:</w:t>
      </w:r>
      <w:r w:rsidRPr="761D4DBD">
        <w:rPr>
          <w:rFonts w:asciiTheme="majorHAnsi" w:hAnsiTheme="majorHAnsi" w:cstheme="majorBidi"/>
          <w:lang w:val="en-US"/>
        </w:rPr>
        <w:t xml:space="preserve"> Identification, implementation and refinement of sector-strengthening strategies throughout the three-year period of the </w:t>
      </w:r>
      <w:r>
        <w:rPr>
          <w:rFonts w:asciiTheme="majorHAnsi" w:hAnsiTheme="majorHAnsi" w:cstheme="majorBidi"/>
          <w:lang w:val="en-US"/>
        </w:rPr>
        <w:t>Health-SSP</w:t>
      </w:r>
      <w:r w:rsidRPr="761D4DBD">
        <w:rPr>
          <w:rFonts w:asciiTheme="majorHAnsi" w:hAnsiTheme="majorHAnsi" w:cstheme="majorBidi"/>
          <w:lang w:val="en-US"/>
        </w:rPr>
        <w:t xml:space="preserve"> should reflect and accommodate the widest possible consultation with the sector, evidence of need and effective partnerships to enhance the community-controlled </w:t>
      </w:r>
      <w:r>
        <w:rPr>
          <w:rFonts w:asciiTheme="majorHAnsi" w:hAnsiTheme="majorHAnsi" w:cstheme="majorBidi"/>
          <w:lang w:val="en-US"/>
        </w:rPr>
        <w:t>health</w:t>
      </w:r>
      <w:r w:rsidRPr="761D4DBD">
        <w:rPr>
          <w:rFonts w:asciiTheme="majorHAnsi" w:hAnsiTheme="majorHAnsi" w:cstheme="majorBidi"/>
          <w:lang w:val="en-US"/>
        </w:rPr>
        <w:t xml:space="preserve"> sector and benefit Aboriginal an</w:t>
      </w:r>
      <w:r>
        <w:rPr>
          <w:rFonts w:asciiTheme="majorHAnsi" w:hAnsiTheme="majorHAnsi" w:cstheme="majorBidi"/>
          <w:lang w:val="en-US"/>
        </w:rPr>
        <w:t>d Torres Strait Islander peoples</w:t>
      </w:r>
      <w:r w:rsidRPr="761D4DBD">
        <w:rPr>
          <w:rFonts w:asciiTheme="majorHAnsi" w:hAnsiTheme="majorHAnsi" w:cstheme="majorBidi"/>
          <w:lang w:val="en-US"/>
        </w:rPr>
        <w:t xml:space="preserve">. </w:t>
      </w:r>
    </w:p>
    <w:p w14:paraId="1C403533" w14:textId="77777777" w:rsidR="001047C3" w:rsidRPr="001047C3" w:rsidRDefault="001047C3" w:rsidP="001047C3">
      <w:pPr>
        <w:ind w:right="352"/>
        <w:rPr>
          <w:rFonts w:asciiTheme="majorHAnsi" w:hAnsiTheme="majorHAnsi" w:cstheme="majorBidi"/>
          <w:color w:val="FF0000"/>
          <w:lang w:val="en-US"/>
        </w:rPr>
      </w:pPr>
      <w:r w:rsidRPr="001047C3">
        <w:rPr>
          <w:rFonts w:asciiTheme="majorHAnsi" w:hAnsiTheme="majorHAnsi" w:cstheme="majorBidi"/>
          <w:lang w:val="en-US"/>
        </w:rPr>
        <w:t>This Health-SSP is an enabling, outcomes-focused plan that clearly distinguishes sector-strengthening activities from program budgets and other initiatives. It is strategic, innovative and forward-thinking.</w:t>
      </w:r>
    </w:p>
    <w:p w14:paraId="55FAC160" w14:textId="4A45A94C" w:rsidR="001047C3" w:rsidRDefault="001047C3" w:rsidP="001047C3">
      <w:pPr>
        <w:ind w:right="352"/>
        <w:rPr>
          <w:rFonts w:asciiTheme="majorHAnsi" w:hAnsiTheme="majorHAnsi" w:cstheme="majorBidi"/>
          <w:lang w:val="en-US"/>
        </w:rPr>
      </w:pPr>
      <w:r w:rsidRPr="761D4DBD">
        <w:rPr>
          <w:rFonts w:asciiTheme="majorHAnsi" w:hAnsiTheme="majorHAnsi" w:cstheme="majorBidi"/>
        </w:rPr>
        <w:t xml:space="preserve">Considerable effort has </w:t>
      </w:r>
      <w:r>
        <w:rPr>
          <w:rFonts w:asciiTheme="majorHAnsi" w:hAnsiTheme="majorHAnsi" w:cstheme="majorBidi"/>
        </w:rPr>
        <w:t xml:space="preserve">also </w:t>
      </w:r>
      <w:r w:rsidRPr="761D4DBD">
        <w:rPr>
          <w:rFonts w:asciiTheme="majorHAnsi" w:hAnsiTheme="majorHAnsi" w:cstheme="majorBidi"/>
        </w:rPr>
        <w:t xml:space="preserve">been made to ensure that the strategies in this </w:t>
      </w:r>
      <w:r>
        <w:rPr>
          <w:rFonts w:asciiTheme="majorHAnsi" w:hAnsiTheme="majorHAnsi" w:cstheme="majorBidi"/>
        </w:rPr>
        <w:t>Health-</w:t>
      </w:r>
      <w:r w:rsidRPr="002548A7">
        <w:rPr>
          <w:rFonts w:asciiTheme="majorHAnsi" w:hAnsiTheme="majorHAnsi" w:cstheme="majorBidi"/>
        </w:rPr>
        <w:t>SSP have potential to create permanent</w:t>
      </w:r>
      <w:r w:rsidRPr="761D4DBD">
        <w:rPr>
          <w:rFonts w:asciiTheme="majorHAnsi" w:hAnsiTheme="majorHAnsi" w:cstheme="majorBidi"/>
        </w:rPr>
        <w:t xml:space="preserve">, highly-skilled, meaningful jobs </w:t>
      </w:r>
      <w:r w:rsidRPr="761D4DBD">
        <w:rPr>
          <w:rFonts w:asciiTheme="majorHAnsi" w:hAnsiTheme="majorHAnsi" w:cstheme="majorBidi"/>
          <w:lang w:val="en-US"/>
        </w:rPr>
        <w:t xml:space="preserve">for Aboriginal and Torres Strait Islander people in community-controlled </w:t>
      </w:r>
      <w:proofErr w:type="spellStart"/>
      <w:r w:rsidRPr="761D4DBD">
        <w:rPr>
          <w:rFonts w:asciiTheme="majorHAnsi" w:hAnsiTheme="majorHAnsi" w:cstheme="majorBidi"/>
          <w:lang w:val="en-US"/>
        </w:rPr>
        <w:t>organisations</w:t>
      </w:r>
      <w:proofErr w:type="spellEnd"/>
      <w:r>
        <w:rPr>
          <w:rFonts w:asciiTheme="majorHAnsi" w:hAnsiTheme="majorHAnsi" w:cstheme="majorBidi"/>
          <w:lang w:val="en-US"/>
        </w:rPr>
        <w:t>, including</w:t>
      </w:r>
      <w:r w:rsidRPr="761D4DBD">
        <w:rPr>
          <w:rFonts w:asciiTheme="majorHAnsi" w:hAnsiTheme="majorHAnsi" w:cstheme="majorBidi"/>
          <w:lang w:val="en-US"/>
        </w:rPr>
        <w:t xml:space="preserve"> both community-controlled primary </w:t>
      </w:r>
      <w:r>
        <w:rPr>
          <w:rFonts w:asciiTheme="majorHAnsi" w:hAnsiTheme="majorHAnsi" w:cstheme="majorBidi"/>
          <w:lang w:val="en-US"/>
        </w:rPr>
        <w:t>health care services</w:t>
      </w:r>
      <w:r w:rsidRPr="761D4DBD">
        <w:rPr>
          <w:rFonts w:asciiTheme="majorHAnsi" w:hAnsiTheme="majorHAnsi" w:cstheme="majorBidi"/>
          <w:lang w:val="en-US"/>
        </w:rPr>
        <w:t xml:space="preserve"> as well as other community-controlled </w:t>
      </w:r>
      <w:proofErr w:type="spellStart"/>
      <w:r w:rsidRPr="761D4DBD">
        <w:rPr>
          <w:rFonts w:asciiTheme="majorHAnsi" w:hAnsiTheme="majorHAnsi" w:cstheme="majorBidi"/>
          <w:lang w:val="en-US"/>
        </w:rPr>
        <w:t>organisations</w:t>
      </w:r>
      <w:proofErr w:type="spellEnd"/>
      <w:r w:rsidRPr="761D4DBD">
        <w:rPr>
          <w:rFonts w:asciiTheme="majorHAnsi" w:hAnsiTheme="majorHAnsi" w:cstheme="majorBidi"/>
          <w:lang w:val="en-US"/>
        </w:rPr>
        <w:t xml:space="preserve"> providing social and economic services.  </w:t>
      </w:r>
    </w:p>
    <w:p w14:paraId="31A76AC5" w14:textId="0A5D2DC7" w:rsidR="00C44A6E" w:rsidRDefault="001047C3" w:rsidP="00C44A6E">
      <w:pPr>
        <w:ind w:right="352"/>
        <w:rPr>
          <w:rFonts w:asciiTheme="majorHAnsi" w:hAnsiTheme="majorHAnsi"/>
        </w:rPr>
        <w:sectPr w:rsidR="00C44A6E" w:rsidSect="00C44A6E">
          <w:pgSz w:w="11901" w:h="16840" w:code="8"/>
          <w:pgMar w:top="1440" w:right="1440" w:bottom="1440" w:left="1440" w:header="709" w:footer="709" w:gutter="0"/>
          <w:cols w:space="708"/>
          <w:docGrid w:linePitch="360"/>
        </w:sectPr>
      </w:pPr>
      <w:r w:rsidRPr="4EC3E4E6">
        <w:rPr>
          <w:rFonts w:asciiTheme="majorHAnsi" w:hAnsiTheme="majorHAnsi"/>
          <w:lang w:val="en-US"/>
        </w:rPr>
        <w:t xml:space="preserve">The </w:t>
      </w:r>
      <w:r>
        <w:rPr>
          <w:rFonts w:asciiTheme="majorHAnsi" w:hAnsiTheme="majorHAnsi"/>
          <w:lang w:val="en-US"/>
        </w:rPr>
        <w:t>HSSP</w:t>
      </w:r>
      <w:r w:rsidRPr="4EC3E4E6">
        <w:rPr>
          <w:rFonts w:asciiTheme="majorHAnsi" w:hAnsiTheme="majorHAnsi"/>
          <w:lang w:val="en-US"/>
        </w:rPr>
        <w:t xml:space="preserve">WG affirms that this </w:t>
      </w:r>
      <w:r>
        <w:rPr>
          <w:rFonts w:asciiTheme="majorHAnsi" w:hAnsiTheme="majorHAnsi"/>
          <w:lang w:val="en-US"/>
        </w:rPr>
        <w:t>Health-SSP</w:t>
      </w:r>
      <w:r w:rsidRPr="4EC3E4E6">
        <w:rPr>
          <w:rFonts w:asciiTheme="majorHAnsi" w:hAnsiTheme="majorHAnsi"/>
          <w:lang w:val="en-US"/>
        </w:rPr>
        <w:t xml:space="preserve"> </w:t>
      </w:r>
      <w:r w:rsidRPr="4EC3E4E6">
        <w:rPr>
          <w:rFonts w:asciiTheme="majorHAnsi" w:hAnsiTheme="majorHAnsi"/>
        </w:rPr>
        <w:t xml:space="preserve">provides a national framework for a joined-up approach to build a strong </w:t>
      </w:r>
      <w:r>
        <w:rPr>
          <w:rFonts w:asciiTheme="majorHAnsi" w:hAnsiTheme="majorHAnsi"/>
        </w:rPr>
        <w:t xml:space="preserve">Aboriginal and Torres Strait Islander </w:t>
      </w:r>
      <w:r w:rsidRPr="4EC3E4E6">
        <w:rPr>
          <w:rFonts w:asciiTheme="majorHAnsi" w:hAnsiTheme="majorHAnsi"/>
        </w:rPr>
        <w:t xml:space="preserve">community-controlled </w:t>
      </w:r>
      <w:r>
        <w:rPr>
          <w:rFonts w:asciiTheme="majorHAnsi" w:hAnsiTheme="majorHAnsi"/>
        </w:rPr>
        <w:t>health</w:t>
      </w:r>
      <w:r w:rsidRPr="4EC3E4E6">
        <w:rPr>
          <w:rFonts w:asciiTheme="majorHAnsi" w:hAnsiTheme="majorHAnsi"/>
        </w:rPr>
        <w:t xml:space="preserve"> sector. </w:t>
      </w:r>
      <w:r>
        <w:rPr>
          <w:rFonts w:asciiTheme="majorHAnsi" w:hAnsiTheme="majorHAnsi"/>
        </w:rPr>
        <w:t xml:space="preserve"> </w:t>
      </w:r>
      <w:r w:rsidRPr="4EC3E4E6">
        <w:rPr>
          <w:rFonts w:asciiTheme="majorHAnsi" w:hAnsiTheme="majorHAnsi"/>
          <w:lang w:val="en-US"/>
        </w:rPr>
        <w:t xml:space="preserve">By design, this </w:t>
      </w:r>
      <w:r>
        <w:rPr>
          <w:rFonts w:asciiTheme="majorHAnsi" w:hAnsiTheme="majorHAnsi"/>
          <w:lang w:val="en-US"/>
        </w:rPr>
        <w:t>Health-SSP</w:t>
      </w:r>
      <w:r w:rsidRPr="4EC3E4E6">
        <w:rPr>
          <w:rFonts w:asciiTheme="majorHAnsi" w:hAnsiTheme="majorHAnsi"/>
          <w:lang w:val="en-US"/>
        </w:rPr>
        <w:t xml:space="preserve"> </w:t>
      </w:r>
      <w:r w:rsidRPr="4EC3E4E6">
        <w:rPr>
          <w:rFonts w:asciiTheme="majorHAnsi" w:hAnsiTheme="majorHAnsi"/>
        </w:rPr>
        <w:t xml:space="preserve">encompasses a broad range of initiatives, </w:t>
      </w:r>
      <w:r>
        <w:rPr>
          <w:rFonts w:asciiTheme="majorHAnsi" w:hAnsiTheme="majorHAnsi"/>
        </w:rPr>
        <w:t xml:space="preserve">based on </w:t>
      </w:r>
      <w:r w:rsidRPr="4EC3E4E6">
        <w:rPr>
          <w:rFonts w:asciiTheme="majorHAnsi" w:hAnsiTheme="majorHAnsi"/>
        </w:rPr>
        <w:t xml:space="preserve">wide consultation </w:t>
      </w:r>
      <w:r>
        <w:rPr>
          <w:rFonts w:asciiTheme="majorHAnsi" w:hAnsiTheme="majorHAnsi"/>
        </w:rPr>
        <w:t>and informed decision-</w:t>
      </w:r>
      <w:r w:rsidRPr="4EC3E4E6">
        <w:rPr>
          <w:rFonts w:asciiTheme="majorHAnsi" w:hAnsiTheme="majorHAnsi"/>
        </w:rPr>
        <w:t>making</w:t>
      </w:r>
      <w:r>
        <w:rPr>
          <w:rFonts w:asciiTheme="majorHAnsi" w:hAnsiTheme="majorHAnsi"/>
        </w:rPr>
        <w:t xml:space="preserve"> grounded in the needs and priorities of Aboriginal </w:t>
      </w:r>
      <w:r w:rsidRPr="002548A7">
        <w:rPr>
          <w:rFonts w:asciiTheme="majorHAnsi" w:hAnsiTheme="majorHAnsi"/>
        </w:rPr>
        <w:t>and Torres Strait Islander peak bodies and community-controlled services</w:t>
      </w:r>
      <w:r>
        <w:rPr>
          <w:rFonts w:asciiTheme="majorHAnsi" w:hAnsiTheme="majorHAnsi"/>
        </w:rPr>
        <w:t>. In turn, these reflect their direct accountability as organisations to Aboriginal and Torres Strait Islander peoples.</w:t>
      </w:r>
    </w:p>
    <w:p w14:paraId="74A96833" w14:textId="6CA19C37" w:rsidR="00F76F34" w:rsidRDefault="00C641DD" w:rsidP="00036CD7">
      <w:pPr>
        <w:pStyle w:val="h2"/>
      </w:pPr>
      <w:bookmarkStart w:id="33" w:name="_Toc88818200"/>
      <w:r>
        <w:lastRenderedPageBreak/>
        <w:t>Action Table</w:t>
      </w:r>
      <w:bookmarkEnd w:id="33"/>
    </w:p>
    <w:p w14:paraId="72F2A0CA" w14:textId="4BCA0592" w:rsidR="00C44A6E" w:rsidRDefault="001047C3" w:rsidP="00C44A6E">
      <w:r w:rsidRPr="00E263B3">
        <w:rPr>
          <w:rFonts w:asciiTheme="majorHAnsi" w:hAnsiTheme="majorHAnsi" w:cstheme="majorBidi"/>
        </w:rPr>
        <w:t>In 2021, the Joint Council identified six Key Areas for Action to structure each Sector Strengthening Plan. Th</w:t>
      </w:r>
      <w:r>
        <w:rPr>
          <w:rFonts w:asciiTheme="majorHAnsi" w:hAnsiTheme="majorHAnsi" w:cstheme="majorBidi"/>
        </w:rPr>
        <w:t xml:space="preserve">is Health-SSP </w:t>
      </w:r>
      <w:r w:rsidRPr="00E263B3">
        <w:rPr>
          <w:rFonts w:asciiTheme="majorHAnsi" w:hAnsiTheme="majorHAnsi" w:cstheme="majorBidi"/>
        </w:rPr>
        <w:t xml:space="preserve">identifies 17 action areas under the headings. </w:t>
      </w:r>
      <w:r>
        <w:rPr>
          <w:rFonts w:asciiTheme="majorHAnsi" w:hAnsiTheme="majorHAnsi" w:cstheme="majorBidi"/>
        </w:rPr>
        <w:t xml:space="preserve">The actions are not designed for sequential implementation. Any </w:t>
      </w:r>
      <w:r w:rsidRPr="00E263B3">
        <w:rPr>
          <w:rFonts w:asciiTheme="majorHAnsi" w:hAnsiTheme="majorHAnsi" w:cstheme="majorBidi"/>
        </w:rPr>
        <w:t>additional detail that may be required is available in supplementary information available from the HSSPWG.</w:t>
      </w:r>
      <w:r w:rsidR="00C44A6E" w:rsidRPr="00C44A6E">
        <w:t xml:space="preserve"> </w:t>
      </w:r>
    </w:p>
    <w:p w14:paraId="7EF103EE" w14:textId="3BCAECFE" w:rsidR="00CE1B37" w:rsidRPr="00036CD7" w:rsidRDefault="00F76F34" w:rsidP="00036CD7">
      <w:pPr>
        <w:pStyle w:val="h3"/>
      </w:pPr>
      <w:bookmarkStart w:id="34" w:name="_Toc86928763"/>
      <w:bookmarkStart w:id="35" w:name="_Toc86929270"/>
      <w:bookmarkStart w:id="36" w:name="_Toc88818201"/>
      <w:r w:rsidRPr="00036CD7">
        <w:t>Consistent Funding Model</w:t>
      </w:r>
      <w:bookmarkEnd w:id="34"/>
      <w:bookmarkEnd w:id="35"/>
      <w:bookmarkEnd w:id="36"/>
    </w:p>
    <w:p w14:paraId="065F6364" w14:textId="0AECC137" w:rsidR="00F76F34" w:rsidRPr="005B2096" w:rsidRDefault="00AE7D90" w:rsidP="00AE7D90">
      <w:pPr>
        <w:spacing w:after="120" w:line="240" w:lineRule="auto"/>
        <w:rPr>
          <w:rFonts w:ascii="Calibri Light" w:hAnsi="Calibri Light" w:cs="Calibri Light"/>
          <w:b/>
          <w:bCs/>
          <w:color w:val="000090"/>
        </w:rPr>
      </w:pPr>
      <w:r w:rsidRPr="005B2096">
        <w:rPr>
          <w:rFonts w:ascii="Calibri Light" w:hAnsi="Calibri Light" w:cs="Calibri Light"/>
          <w:b/>
          <w:bCs/>
          <w:color w:val="000090"/>
        </w:rPr>
        <w:t xml:space="preserve">OUTCOME: </w:t>
      </w:r>
      <w:r w:rsidRPr="005B2096">
        <w:rPr>
          <w:rFonts w:ascii="Calibri Light" w:hAnsi="Calibri Light" w:cs="Calibri Light"/>
          <w:b/>
          <w:bCs/>
          <w:color w:val="000090"/>
          <w:lang w:val="en-US"/>
        </w:rPr>
        <w:t>The Aboriginal and Torres Strait Islander community-controlled health sector is further strengthened through reliable funding streams to provide holistic, evidence-based and culturally safe services.</w:t>
      </w:r>
    </w:p>
    <w:tbl>
      <w:tblPr>
        <w:tblStyle w:val="TableGrid"/>
        <w:tblW w:w="0" w:type="auto"/>
        <w:tblLook w:val="04A0" w:firstRow="1" w:lastRow="0" w:firstColumn="1" w:lastColumn="0" w:noHBand="0" w:noVBand="1"/>
        <w:tblCaption w:val="Action Table - Consistent Funding Model "/>
        <w:tblDescription w:val="A table describing the actions. decriptions, responsibilities, resoruces and timelines for the Aboriginal and Torres Strait Islander community-controlled health sector reliable funding streans outcome."/>
      </w:tblPr>
      <w:tblGrid>
        <w:gridCol w:w="581"/>
        <w:gridCol w:w="3967"/>
        <w:gridCol w:w="4101"/>
        <w:gridCol w:w="1983"/>
        <w:gridCol w:w="1840"/>
        <w:gridCol w:w="1478"/>
      </w:tblGrid>
      <w:tr w:rsidR="00AE7D90" w14:paraId="16B00C02" w14:textId="77777777" w:rsidTr="00AB08AC">
        <w:trPr>
          <w:tblHeader/>
        </w:trPr>
        <w:tc>
          <w:tcPr>
            <w:tcW w:w="581" w:type="dxa"/>
            <w:shd w:val="clear" w:color="auto" w:fill="D9E2F3" w:themeFill="accent1" w:themeFillTint="33"/>
          </w:tcPr>
          <w:p w14:paraId="3D0EA0B8" w14:textId="77777777" w:rsidR="00AE7D90" w:rsidRPr="005B2096" w:rsidRDefault="00AE7D90" w:rsidP="00AB08AC">
            <w:pPr>
              <w:spacing w:after="120"/>
              <w:rPr>
                <w:rFonts w:ascii="Calibri Light" w:hAnsi="Calibri Light" w:cs="Calibri Light"/>
                <w:b/>
                <w:bCs/>
              </w:rPr>
            </w:pPr>
            <w:bookmarkStart w:id="37" w:name="_Toc79523347"/>
            <w:r w:rsidRPr="005B2096">
              <w:rPr>
                <w:rFonts w:ascii="Calibri Light" w:hAnsi="Calibri Light" w:cs="Calibri Light"/>
                <w:b/>
                <w:bCs/>
              </w:rPr>
              <w:t>No.</w:t>
            </w:r>
          </w:p>
        </w:tc>
        <w:tc>
          <w:tcPr>
            <w:tcW w:w="3971" w:type="dxa"/>
            <w:shd w:val="clear" w:color="auto" w:fill="D9E2F3" w:themeFill="accent1" w:themeFillTint="33"/>
          </w:tcPr>
          <w:p w14:paraId="75387F31" w14:textId="77777777" w:rsidR="00AE7D90" w:rsidRPr="005B2096" w:rsidRDefault="00AE7D90" w:rsidP="00AB08AC">
            <w:pPr>
              <w:spacing w:after="120"/>
              <w:rPr>
                <w:rFonts w:ascii="Calibri Light" w:hAnsi="Calibri Light" w:cs="Calibri Light"/>
                <w:b/>
                <w:bCs/>
              </w:rPr>
            </w:pPr>
            <w:r w:rsidRPr="005B2096">
              <w:rPr>
                <w:rFonts w:ascii="Calibri Light" w:hAnsi="Calibri Light" w:cs="Calibri Light"/>
                <w:b/>
                <w:bCs/>
              </w:rPr>
              <w:t xml:space="preserve">Action </w:t>
            </w:r>
          </w:p>
        </w:tc>
        <w:tc>
          <w:tcPr>
            <w:tcW w:w="4110" w:type="dxa"/>
            <w:shd w:val="clear" w:color="auto" w:fill="D9E2F3" w:themeFill="accent1" w:themeFillTint="33"/>
          </w:tcPr>
          <w:p w14:paraId="13747E87" w14:textId="77777777" w:rsidR="00AE7D90" w:rsidRPr="005B2096" w:rsidRDefault="00AE7D90" w:rsidP="00AB08AC">
            <w:pPr>
              <w:spacing w:after="120"/>
              <w:rPr>
                <w:rFonts w:ascii="Calibri Light" w:hAnsi="Calibri Light" w:cs="Calibri Light"/>
                <w:b/>
                <w:bCs/>
              </w:rPr>
            </w:pPr>
            <w:r w:rsidRPr="005B2096">
              <w:rPr>
                <w:rFonts w:ascii="Calibri Light" w:hAnsi="Calibri Light" w:cs="Calibri Light"/>
                <w:b/>
                <w:bCs/>
              </w:rPr>
              <w:t xml:space="preserve">Description </w:t>
            </w:r>
          </w:p>
        </w:tc>
        <w:tc>
          <w:tcPr>
            <w:tcW w:w="1985" w:type="dxa"/>
            <w:tcBorders>
              <w:bottom w:val="single" w:sz="4" w:space="0" w:color="auto"/>
            </w:tcBorders>
            <w:shd w:val="clear" w:color="auto" w:fill="D9E2F3" w:themeFill="accent1" w:themeFillTint="33"/>
          </w:tcPr>
          <w:p w14:paraId="7726C11B" w14:textId="77777777" w:rsidR="00AE7D90" w:rsidRPr="005B2096" w:rsidRDefault="00AE7D90" w:rsidP="00AB08AC">
            <w:pPr>
              <w:spacing w:after="120"/>
              <w:rPr>
                <w:rFonts w:ascii="Calibri Light" w:hAnsi="Calibri Light" w:cs="Calibri Light"/>
                <w:b/>
                <w:bCs/>
              </w:rPr>
            </w:pPr>
            <w:r w:rsidRPr="005B2096">
              <w:rPr>
                <w:rFonts w:ascii="Calibri Light" w:hAnsi="Calibri Light" w:cs="Calibri Light"/>
                <w:b/>
                <w:bCs/>
              </w:rPr>
              <w:t>Responsibilities</w:t>
            </w:r>
          </w:p>
        </w:tc>
        <w:tc>
          <w:tcPr>
            <w:tcW w:w="1842" w:type="dxa"/>
            <w:tcBorders>
              <w:bottom w:val="single" w:sz="4" w:space="0" w:color="auto"/>
            </w:tcBorders>
            <w:shd w:val="clear" w:color="auto" w:fill="D9E2F3" w:themeFill="accent1" w:themeFillTint="33"/>
          </w:tcPr>
          <w:p w14:paraId="24CB0E43" w14:textId="77777777" w:rsidR="00AE7D90" w:rsidRPr="005B2096" w:rsidRDefault="00AE7D90" w:rsidP="00AB08AC">
            <w:pPr>
              <w:spacing w:after="120"/>
              <w:rPr>
                <w:rFonts w:ascii="Calibri Light" w:hAnsi="Calibri Light" w:cs="Calibri Light"/>
                <w:b/>
                <w:bCs/>
              </w:rPr>
            </w:pPr>
            <w:r w:rsidRPr="005B2096">
              <w:rPr>
                <w:rFonts w:ascii="Calibri Light" w:hAnsi="Calibri Light" w:cs="Calibri Light"/>
                <w:b/>
                <w:bCs/>
              </w:rPr>
              <w:t>Resources</w:t>
            </w:r>
          </w:p>
        </w:tc>
        <w:tc>
          <w:tcPr>
            <w:tcW w:w="1479" w:type="dxa"/>
            <w:tcBorders>
              <w:bottom w:val="single" w:sz="4" w:space="0" w:color="auto"/>
            </w:tcBorders>
            <w:shd w:val="clear" w:color="auto" w:fill="D9E2F3" w:themeFill="accent1" w:themeFillTint="33"/>
          </w:tcPr>
          <w:p w14:paraId="1CEEF815" w14:textId="77777777" w:rsidR="00AE7D90" w:rsidRPr="005B2096" w:rsidRDefault="00AE7D90" w:rsidP="00AB08AC">
            <w:pPr>
              <w:spacing w:after="120"/>
              <w:rPr>
                <w:rFonts w:ascii="Calibri Light" w:hAnsi="Calibri Light" w:cs="Calibri Light"/>
                <w:b/>
                <w:bCs/>
              </w:rPr>
            </w:pPr>
            <w:r w:rsidRPr="005B2096">
              <w:rPr>
                <w:rFonts w:ascii="Calibri Light" w:hAnsi="Calibri Light" w:cs="Calibri Light"/>
                <w:b/>
                <w:bCs/>
              </w:rPr>
              <w:t>Timelines</w:t>
            </w:r>
          </w:p>
        </w:tc>
      </w:tr>
      <w:tr w:rsidR="00AE7D90" w:rsidRPr="00726E57" w14:paraId="0B841FA0" w14:textId="77777777" w:rsidTr="00AB08AC">
        <w:tc>
          <w:tcPr>
            <w:tcW w:w="581" w:type="dxa"/>
          </w:tcPr>
          <w:p w14:paraId="7AC95C0D"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A1</w:t>
            </w:r>
          </w:p>
        </w:tc>
        <w:tc>
          <w:tcPr>
            <w:tcW w:w="3971" w:type="dxa"/>
          </w:tcPr>
          <w:p w14:paraId="19DD48D3"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b/>
                <w:bCs/>
              </w:rPr>
              <w:t>Develop</w:t>
            </w:r>
            <w:r w:rsidRPr="005B2096">
              <w:rPr>
                <w:rFonts w:ascii="Calibri Light" w:hAnsi="Calibri Light" w:cs="Calibri Light"/>
              </w:rPr>
              <w:t xml:space="preserve"> a needs-based funding model in partnership with the Aboriginal and Torres Strait Islander community-controlled health sector</w:t>
            </w:r>
          </w:p>
          <w:p w14:paraId="593F81EB" w14:textId="77777777" w:rsidR="00AE7D90" w:rsidRPr="005B2096" w:rsidRDefault="00AE7D90" w:rsidP="00AB08AC">
            <w:pPr>
              <w:spacing w:after="120"/>
              <w:rPr>
                <w:rFonts w:ascii="Calibri Light" w:hAnsi="Calibri Light" w:cs="Calibri Light"/>
              </w:rPr>
            </w:pPr>
          </w:p>
        </w:tc>
        <w:tc>
          <w:tcPr>
            <w:tcW w:w="4110" w:type="dxa"/>
          </w:tcPr>
          <w:p w14:paraId="74680835"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b/>
                <w:bCs/>
                <w:color w:val="000000" w:themeColor="text1"/>
              </w:rPr>
              <w:t>Develop</w:t>
            </w:r>
            <w:r w:rsidRPr="005B2096">
              <w:rPr>
                <w:rFonts w:ascii="Calibri Light" w:hAnsi="Calibri Light" w:cs="Calibri Light"/>
                <w:color w:val="000000" w:themeColor="text1"/>
              </w:rPr>
              <w:t xml:space="preserve"> a needs-based funding model that is reliable, sustainable, accommodates flexibility and provides </w:t>
            </w:r>
            <w:r w:rsidRPr="005B2096">
              <w:rPr>
                <w:rFonts w:ascii="Calibri Light" w:hAnsi="Calibri Light" w:cs="Calibri Light"/>
              </w:rPr>
              <w:t>funding for comprehensive service delivery and continuing in-service and professional development</w:t>
            </w:r>
            <w:r w:rsidRPr="005B2096">
              <w:rPr>
                <w:rFonts w:ascii="Calibri Light" w:hAnsi="Calibri Light" w:cs="Calibri Light"/>
                <w:color w:val="000000" w:themeColor="text1"/>
              </w:rPr>
              <w:t xml:space="preserve"> of multidisciplinary teams to ensure a fully operational Aboriginal and Torres Strait Islander community-controlled health sector effective in achieving Aboriginal and Torres Strait Islander health improvement</w:t>
            </w:r>
          </w:p>
        </w:tc>
        <w:tc>
          <w:tcPr>
            <w:tcW w:w="1985" w:type="dxa"/>
            <w:shd w:val="clear" w:color="auto" w:fill="auto"/>
          </w:tcPr>
          <w:p w14:paraId="560FD269"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NACCHO</w:t>
            </w:r>
          </w:p>
          <w:p w14:paraId="3807FB68" w14:textId="77777777" w:rsidR="00AE7D90" w:rsidRPr="005B2096" w:rsidRDefault="00AE7D90" w:rsidP="00AB08AC">
            <w:pPr>
              <w:spacing w:after="120"/>
              <w:contextualSpacing/>
              <w:rPr>
                <w:rFonts w:ascii="Calibri Light" w:hAnsi="Calibri Light" w:cs="Calibri Light"/>
              </w:rPr>
            </w:pPr>
          </w:p>
          <w:p w14:paraId="2544A8E3" w14:textId="77777777" w:rsidR="00AE7D90" w:rsidRPr="00404E28" w:rsidRDefault="00AE7D90" w:rsidP="00AB08AC">
            <w:pPr>
              <w:spacing w:after="120"/>
              <w:contextualSpacing/>
              <w:rPr>
                <w:rFonts w:ascii="Calibri Light" w:hAnsi="Calibri Light" w:cs="Calibri Light"/>
              </w:rPr>
            </w:pPr>
            <w:r w:rsidRPr="00404E28">
              <w:rPr>
                <w:rFonts w:ascii="Calibri Light" w:hAnsi="Calibri Light" w:cs="Calibri Light"/>
              </w:rPr>
              <w:t>Australian Government</w:t>
            </w:r>
            <w:r w:rsidRPr="00404E28">
              <w:rPr>
                <w:rFonts w:ascii="Calibri Light" w:hAnsi="Calibri Light" w:cs="Calibri Light"/>
                <w:vertAlign w:val="superscript"/>
              </w:rPr>
              <w:t>1</w:t>
            </w:r>
          </w:p>
          <w:p w14:paraId="560FD9B7" w14:textId="77777777" w:rsidR="00AE7D90" w:rsidRPr="00404E28" w:rsidRDefault="00AE7D90" w:rsidP="00AB08AC">
            <w:pPr>
              <w:spacing w:after="120"/>
              <w:contextualSpacing/>
              <w:rPr>
                <w:rFonts w:ascii="Calibri Light" w:hAnsi="Calibri Light" w:cs="Calibri Light"/>
              </w:rPr>
            </w:pPr>
          </w:p>
          <w:p w14:paraId="392025BC" w14:textId="77777777" w:rsidR="00AE7D90" w:rsidRPr="005B2096" w:rsidRDefault="00AE7D90" w:rsidP="00AB08AC">
            <w:pPr>
              <w:spacing w:after="120"/>
              <w:contextualSpacing/>
              <w:rPr>
                <w:rFonts w:ascii="Calibri Light" w:hAnsi="Calibri Light" w:cs="Calibri Light"/>
              </w:rPr>
            </w:pPr>
            <w:r w:rsidRPr="00404E28">
              <w:rPr>
                <w:rFonts w:ascii="Calibri Light" w:hAnsi="Calibri Light" w:cs="Calibri Light"/>
              </w:rPr>
              <w:t>State and Territory Governments</w:t>
            </w:r>
            <w:r w:rsidRPr="00404E28">
              <w:rPr>
                <w:rFonts w:ascii="Calibri Light" w:hAnsi="Calibri Light" w:cs="Calibri Light"/>
                <w:vertAlign w:val="superscript"/>
              </w:rPr>
              <w:t>1</w:t>
            </w:r>
          </w:p>
          <w:p w14:paraId="2154787D" w14:textId="77777777" w:rsidR="00AE7D90" w:rsidRPr="005B2096" w:rsidRDefault="00AE7D90" w:rsidP="00AB08AC">
            <w:pPr>
              <w:spacing w:after="120"/>
              <w:contextualSpacing/>
              <w:rPr>
                <w:rFonts w:ascii="Calibri Light" w:hAnsi="Calibri Light" w:cs="Calibri Light"/>
              </w:rPr>
            </w:pPr>
          </w:p>
          <w:p w14:paraId="409F090F" w14:textId="77777777" w:rsidR="00AE7D90" w:rsidRPr="005B2096" w:rsidRDefault="00AE7D90" w:rsidP="00AB08AC">
            <w:pPr>
              <w:spacing w:after="120"/>
              <w:contextualSpacing/>
              <w:rPr>
                <w:rFonts w:ascii="Calibri Light" w:hAnsi="Calibri Light" w:cs="Calibri Light"/>
              </w:rPr>
            </w:pPr>
          </w:p>
          <w:p w14:paraId="302B6063" w14:textId="77777777" w:rsidR="00AE7D90" w:rsidRPr="005B2096" w:rsidRDefault="00AE7D90" w:rsidP="00AB08AC">
            <w:pPr>
              <w:spacing w:after="120"/>
              <w:contextualSpacing/>
              <w:rPr>
                <w:rFonts w:ascii="Calibri Light" w:hAnsi="Calibri Light" w:cs="Calibri Light"/>
              </w:rPr>
            </w:pPr>
          </w:p>
          <w:p w14:paraId="0B1D8AF0" w14:textId="77777777" w:rsidR="00AE7D90" w:rsidRPr="005B2096" w:rsidRDefault="00AE7D90" w:rsidP="00AB08AC">
            <w:pPr>
              <w:spacing w:after="120"/>
              <w:contextualSpacing/>
              <w:rPr>
                <w:rFonts w:ascii="Calibri Light" w:hAnsi="Calibri Light" w:cs="Calibri Light"/>
              </w:rPr>
            </w:pPr>
          </w:p>
          <w:p w14:paraId="0767CBEB" w14:textId="77777777" w:rsidR="00AE7D90" w:rsidRPr="005B2096" w:rsidRDefault="00AE7D90" w:rsidP="00AB08AC">
            <w:pPr>
              <w:spacing w:after="120"/>
              <w:contextualSpacing/>
              <w:rPr>
                <w:rFonts w:ascii="Calibri Light" w:hAnsi="Calibri Light" w:cs="Calibri Light"/>
              </w:rPr>
            </w:pPr>
          </w:p>
        </w:tc>
        <w:tc>
          <w:tcPr>
            <w:tcW w:w="1842" w:type="dxa"/>
            <w:shd w:val="clear" w:color="auto" w:fill="auto"/>
          </w:tcPr>
          <w:p w14:paraId="3406A8B9"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Nil additional financial cost to develop the model</w:t>
            </w:r>
            <w:r w:rsidRPr="005B2096">
              <w:rPr>
                <w:rFonts w:ascii="Calibri Light" w:hAnsi="Calibri Light" w:cs="Calibri Light"/>
                <w:vertAlign w:val="superscript"/>
              </w:rPr>
              <w:t>2</w:t>
            </w:r>
            <w:r w:rsidRPr="005B2096">
              <w:rPr>
                <w:rFonts w:ascii="Calibri Light" w:hAnsi="Calibri Light" w:cs="Calibri Light"/>
              </w:rPr>
              <w:t xml:space="preserve"> </w:t>
            </w:r>
          </w:p>
          <w:p w14:paraId="7E839D71" w14:textId="77777777" w:rsidR="00AE7D90" w:rsidRPr="005B2096" w:rsidRDefault="00AE7D90" w:rsidP="00AB08AC">
            <w:pPr>
              <w:spacing w:after="120"/>
              <w:contextualSpacing/>
              <w:rPr>
                <w:rFonts w:ascii="Calibri Light" w:hAnsi="Calibri Light" w:cs="Calibri Light"/>
              </w:rPr>
            </w:pPr>
          </w:p>
          <w:p w14:paraId="1A3BE8E5" w14:textId="77777777" w:rsidR="00AE7D90" w:rsidRPr="005B2096" w:rsidRDefault="00AE7D90" w:rsidP="00AB08AC">
            <w:pPr>
              <w:spacing w:after="120"/>
              <w:contextualSpacing/>
              <w:rPr>
                <w:rFonts w:ascii="Calibri Light" w:hAnsi="Calibri Light" w:cs="Calibri Light"/>
              </w:rPr>
            </w:pPr>
          </w:p>
          <w:p w14:paraId="076261F3" w14:textId="77777777" w:rsidR="00AE7D90" w:rsidRPr="005B2096" w:rsidRDefault="00AE7D90" w:rsidP="00AB08AC">
            <w:pPr>
              <w:spacing w:after="120"/>
              <w:contextualSpacing/>
              <w:rPr>
                <w:rFonts w:ascii="Calibri Light" w:hAnsi="Calibri Light" w:cs="Calibri Light"/>
              </w:rPr>
            </w:pPr>
          </w:p>
          <w:p w14:paraId="64546910" w14:textId="77777777" w:rsidR="00AE7D90" w:rsidRPr="005B2096" w:rsidRDefault="00AE7D90" w:rsidP="00AB08AC">
            <w:pPr>
              <w:spacing w:after="120"/>
              <w:contextualSpacing/>
              <w:rPr>
                <w:rFonts w:ascii="Calibri Light" w:hAnsi="Calibri Light" w:cs="Calibri Light"/>
                <w:sz w:val="16"/>
                <w:szCs w:val="16"/>
              </w:rPr>
            </w:pPr>
          </w:p>
        </w:tc>
        <w:tc>
          <w:tcPr>
            <w:tcW w:w="1479" w:type="dxa"/>
            <w:shd w:val="clear" w:color="auto" w:fill="auto"/>
          </w:tcPr>
          <w:p w14:paraId="154F7716" w14:textId="77777777" w:rsidR="00AE7D90" w:rsidRPr="005B2096" w:rsidRDefault="00AE7D90" w:rsidP="002D2CE0">
            <w:pPr>
              <w:spacing w:before="0"/>
              <w:rPr>
                <w:rFonts w:ascii="Calibri Light" w:hAnsi="Calibri Light" w:cs="Calibri Light"/>
              </w:rPr>
            </w:pPr>
            <w:r w:rsidRPr="005B2096">
              <w:rPr>
                <w:rFonts w:ascii="Calibri Light" w:hAnsi="Calibri Light" w:cs="Calibri Light"/>
              </w:rPr>
              <w:t>Year 1</w:t>
            </w:r>
          </w:p>
          <w:p w14:paraId="24984C87" w14:textId="77777777" w:rsidR="00AE7D90" w:rsidRPr="005B2096" w:rsidRDefault="00AE7D90" w:rsidP="00AB08AC">
            <w:pPr>
              <w:rPr>
                <w:rFonts w:ascii="Calibri Light" w:eastAsia="Times New Roman" w:hAnsi="Calibri Light" w:cs="Calibri Light"/>
                <w:color w:val="000000"/>
              </w:rPr>
            </w:pPr>
            <w:r w:rsidRPr="005B2096">
              <w:rPr>
                <w:rFonts w:ascii="Calibri Light" w:eastAsia="Times New Roman" w:hAnsi="Calibri Light" w:cs="Calibri Light"/>
                <w:color w:val="000000"/>
              </w:rPr>
              <w:t xml:space="preserve">Funding model calculations finalised </w:t>
            </w:r>
          </w:p>
          <w:p w14:paraId="01BCA01A" w14:textId="77777777" w:rsidR="00AE7D90" w:rsidRPr="005B2096" w:rsidRDefault="00AE7D90" w:rsidP="00AB08AC">
            <w:pPr>
              <w:rPr>
                <w:rFonts w:ascii="Calibri Light" w:hAnsi="Calibri Light" w:cs="Calibri Light"/>
                <w:color w:val="000000"/>
              </w:rPr>
            </w:pPr>
            <w:r w:rsidRPr="005B2096">
              <w:rPr>
                <w:rFonts w:ascii="Calibri Light" w:hAnsi="Calibri Light" w:cs="Calibri Light"/>
                <w:color w:val="000000"/>
              </w:rPr>
              <w:t> </w:t>
            </w:r>
          </w:p>
          <w:p w14:paraId="3C56BCBE" w14:textId="77777777" w:rsidR="00AE7D90" w:rsidRPr="005B2096" w:rsidRDefault="00AE7D90" w:rsidP="00AB08AC">
            <w:pPr>
              <w:spacing w:after="120"/>
              <w:contextualSpacing/>
              <w:rPr>
                <w:rFonts w:ascii="Calibri Light" w:hAnsi="Calibri Light" w:cs="Calibri Light"/>
              </w:rPr>
            </w:pPr>
          </w:p>
          <w:p w14:paraId="6693A0D0"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Year 2</w:t>
            </w:r>
          </w:p>
          <w:p w14:paraId="488D2999" w14:textId="77777777" w:rsidR="00AE7D90" w:rsidRDefault="00AE7D90" w:rsidP="00AB08AC">
            <w:pPr>
              <w:spacing w:after="120"/>
              <w:contextualSpacing/>
              <w:rPr>
                <w:rFonts w:ascii="Calibri Light" w:hAnsi="Calibri Light" w:cs="Calibri Light"/>
              </w:rPr>
            </w:pPr>
            <w:r w:rsidRPr="005B2096">
              <w:rPr>
                <w:rFonts w:ascii="Calibri Light" w:hAnsi="Calibri Light" w:cs="Calibri Light"/>
              </w:rPr>
              <w:t>Funding model commences 23/24FY budget</w:t>
            </w:r>
          </w:p>
          <w:p w14:paraId="6A81AAD8" w14:textId="77777777" w:rsidR="00AE7D90" w:rsidRPr="005B2096" w:rsidRDefault="00AE7D90" w:rsidP="00AB08AC">
            <w:pPr>
              <w:spacing w:after="120"/>
              <w:contextualSpacing/>
              <w:rPr>
                <w:rFonts w:ascii="Calibri Light" w:hAnsi="Calibri Light" w:cs="Calibri Light"/>
              </w:rPr>
            </w:pPr>
          </w:p>
        </w:tc>
      </w:tr>
      <w:tr w:rsidR="00AE7D90" w:rsidRPr="00726E57" w14:paraId="1DAD0F68" w14:textId="77777777" w:rsidTr="00AB08AC">
        <w:tc>
          <w:tcPr>
            <w:tcW w:w="581" w:type="dxa"/>
          </w:tcPr>
          <w:p w14:paraId="66BDF9F7"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A</w:t>
            </w:r>
            <w:r>
              <w:rPr>
                <w:rFonts w:ascii="Calibri Light" w:hAnsi="Calibri Light" w:cs="Calibri Light"/>
              </w:rPr>
              <w:t>2</w:t>
            </w:r>
          </w:p>
        </w:tc>
        <w:tc>
          <w:tcPr>
            <w:tcW w:w="3971" w:type="dxa"/>
          </w:tcPr>
          <w:p w14:paraId="1F04FD66" w14:textId="77777777" w:rsidR="006D76FB" w:rsidRPr="006D76FB" w:rsidRDefault="006D76FB" w:rsidP="006D76FB">
            <w:pPr>
              <w:spacing w:after="120"/>
              <w:contextualSpacing/>
              <w:rPr>
                <w:rFonts w:ascii="Calibri Light" w:hAnsi="Calibri Light" w:cs="Calibri Light"/>
                <w:b/>
                <w:bCs/>
              </w:rPr>
            </w:pPr>
            <w:r w:rsidRPr="006D76FB">
              <w:rPr>
                <w:rFonts w:ascii="Calibri Light" w:hAnsi="Calibri Light" w:cs="Calibri Light"/>
                <w:b/>
                <w:bCs/>
              </w:rPr>
              <w:t xml:space="preserve">Re-prioritise </w:t>
            </w:r>
            <w:r w:rsidRPr="006D76FB">
              <w:rPr>
                <w:rFonts w:ascii="Calibri Light" w:hAnsi="Calibri Light" w:cs="Calibri Light"/>
              </w:rPr>
              <w:t xml:space="preserve">Aboriginal and Torres Strait Islander health program funds being directed to mainstream non-government organisations, towards the Aboriginal and </w:t>
            </w:r>
            <w:r w:rsidRPr="006D76FB">
              <w:rPr>
                <w:rFonts w:ascii="Calibri Light" w:hAnsi="Calibri Light" w:cs="Calibri Light"/>
              </w:rPr>
              <w:lastRenderedPageBreak/>
              <w:t xml:space="preserve">Torres Strait Islander community-controlled health sector. This includes current and new investments in mental health, drug and alcohol, aged care and emerging health priorities for Aboriginal and Torres Strait islander people </w:t>
            </w:r>
          </w:p>
          <w:p w14:paraId="18DFDC20" w14:textId="77777777" w:rsidR="00AE7D90" w:rsidRPr="006D76FB" w:rsidRDefault="00AE7D90" w:rsidP="006D76FB">
            <w:pPr>
              <w:spacing w:after="120"/>
              <w:contextualSpacing/>
              <w:rPr>
                <w:rFonts w:ascii="Calibri Light" w:hAnsi="Calibri Light" w:cs="Calibri Light"/>
                <w:b/>
                <w:bCs/>
              </w:rPr>
            </w:pPr>
          </w:p>
        </w:tc>
        <w:tc>
          <w:tcPr>
            <w:tcW w:w="4110" w:type="dxa"/>
          </w:tcPr>
          <w:p w14:paraId="5F0C67F4" w14:textId="77777777" w:rsidR="00AE7D90" w:rsidRPr="005B2096" w:rsidRDefault="00AE7D90" w:rsidP="00AB08AC">
            <w:pPr>
              <w:spacing w:after="120"/>
              <w:ind w:right="352"/>
              <w:contextualSpacing/>
              <w:rPr>
                <w:rFonts w:ascii="Calibri Light" w:hAnsi="Calibri Light" w:cs="Calibri Light"/>
                <w:lang w:val="en-US"/>
              </w:rPr>
            </w:pPr>
            <w:r w:rsidRPr="005B2096">
              <w:rPr>
                <w:rFonts w:ascii="Calibri Light" w:hAnsi="Calibri Light" w:cs="Calibri Light"/>
                <w:b/>
                <w:bCs/>
                <w:lang w:val="en-US"/>
              </w:rPr>
              <w:lastRenderedPageBreak/>
              <w:t>Review</w:t>
            </w:r>
            <w:r w:rsidRPr="005B2096">
              <w:rPr>
                <w:rFonts w:ascii="Calibri Light" w:hAnsi="Calibri Light" w:cs="Calibri Light"/>
                <w:lang w:val="en-US"/>
              </w:rPr>
              <w:t xml:space="preserve"> funding arrangements from all agencies supporting Aboriginal and Torres Strait Islander health programs</w:t>
            </w:r>
          </w:p>
          <w:p w14:paraId="79FCDB8C" w14:textId="77777777" w:rsidR="00AE7D90" w:rsidRPr="005B2096" w:rsidRDefault="00AE7D90" w:rsidP="0009495B">
            <w:pPr>
              <w:spacing w:before="0" w:after="120"/>
              <w:ind w:right="352"/>
              <w:contextualSpacing/>
              <w:rPr>
                <w:rFonts w:ascii="Calibri Light" w:hAnsi="Calibri Light" w:cs="Calibri Light"/>
                <w:lang w:val="en-US"/>
              </w:rPr>
            </w:pPr>
          </w:p>
          <w:p w14:paraId="747F76E1" w14:textId="77777777" w:rsidR="00AE7D90" w:rsidRPr="005B2096" w:rsidRDefault="00AE7D90" w:rsidP="0009495B">
            <w:pPr>
              <w:spacing w:before="0" w:after="120"/>
              <w:ind w:right="352"/>
              <w:contextualSpacing/>
              <w:rPr>
                <w:rFonts w:ascii="Calibri Light" w:hAnsi="Calibri Light" w:cs="Calibri Light"/>
                <w:lang w:val="en-US"/>
              </w:rPr>
            </w:pPr>
            <w:r w:rsidRPr="005B2096">
              <w:rPr>
                <w:rFonts w:ascii="Calibri Light" w:hAnsi="Calibri Light" w:cs="Calibri Light"/>
                <w:b/>
                <w:bCs/>
                <w:lang w:val="en-US"/>
              </w:rPr>
              <w:lastRenderedPageBreak/>
              <w:t>Identify and implement</w:t>
            </w:r>
            <w:r w:rsidRPr="005B2096">
              <w:rPr>
                <w:rFonts w:ascii="Calibri Light" w:hAnsi="Calibri Light" w:cs="Calibri Light"/>
                <w:lang w:val="en-US"/>
              </w:rPr>
              <w:t xml:space="preserve"> appropriate opportunities to redirect Aboriginal and Torres Strait Islander health and wellbeing funds to the Aboriginal and Torres Strait Islander community-controlled health sector </w:t>
            </w:r>
          </w:p>
          <w:p w14:paraId="59007AAA" w14:textId="77777777" w:rsidR="00AE7D90" w:rsidRPr="005B2096" w:rsidRDefault="00AE7D90" w:rsidP="00AB08AC">
            <w:pPr>
              <w:spacing w:after="120"/>
              <w:ind w:right="352"/>
              <w:contextualSpacing/>
              <w:rPr>
                <w:rFonts w:ascii="Calibri Light" w:hAnsi="Calibri Light" w:cs="Calibri Light"/>
                <w:lang w:val="en-US"/>
              </w:rPr>
            </w:pPr>
          </w:p>
          <w:p w14:paraId="026EBF60" w14:textId="77777777" w:rsidR="00AE7D90" w:rsidRPr="005B2096" w:rsidRDefault="00AE7D90" w:rsidP="00AB08AC">
            <w:pPr>
              <w:spacing w:after="120"/>
              <w:ind w:right="352"/>
              <w:contextualSpacing/>
              <w:rPr>
                <w:rFonts w:ascii="Calibri Light" w:hAnsi="Calibri Light" w:cs="Calibri Light"/>
                <w:lang w:val="en-US"/>
              </w:rPr>
            </w:pPr>
            <w:r w:rsidRPr="005B2096">
              <w:rPr>
                <w:rFonts w:ascii="Calibri Light" w:hAnsi="Calibri Light" w:cs="Calibri Light"/>
                <w:b/>
                <w:bCs/>
                <w:lang w:val="en-US"/>
              </w:rPr>
              <w:t>Identify and implement</w:t>
            </w:r>
            <w:r w:rsidRPr="005B2096">
              <w:rPr>
                <w:rFonts w:ascii="Calibri Light" w:hAnsi="Calibri Light" w:cs="Calibri Light"/>
                <w:lang w:val="en-US"/>
              </w:rPr>
              <w:t xml:space="preserve"> appropriate opportunities to redirect mainstream funds to the Aboriginal and Torres Strait Islander community-controlled health sector</w:t>
            </w:r>
          </w:p>
          <w:p w14:paraId="6DB083C3" w14:textId="77777777" w:rsidR="00AE7D90" w:rsidRPr="005B2096" w:rsidRDefault="00AE7D90" w:rsidP="00AB08AC">
            <w:pPr>
              <w:spacing w:after="120"/>
              <w:ind w:right="352"/>
              <w:contextualSpacing/>
              <w:rPr>
                <w:rFonts w:ascii="Calibri Light" w:hAnsi="Calibri Light" w:cs="Calibri Light"/>
                <w:lang w:val="en-US"/>
              </w:rPr>
            </w:pPr>
          </w:p>
          <w:p w14:paraId="27BBD165" w14:textId="77777777" w:rsidR="00AE7D90" w:rsidRPr="005B2096" w:rsidRDefault="00AE7D90" w:rsidP="00AB08AC">
            <w:pPr>
              <w:spacing w:after="120"/>
              <w:ind w:right="352"/>
              <w:contextualSpacing/>
              <w:rPr>
                <w:rFonts w:ascii="Calibri Light" w:hAnsi="Calibri Light" w:cs="Calibri Light"/>
                <w:lang w:val="en-US"/>
              </w:rPr>
            </w:pPr>
            <w:r w:rsidRPr="005B2096">
              <w:rPr>
                <w:rFonts w:ascii="Calibri Light" w:hAnsi="Calibri Light" w:cs="Calibri Light"/>
                <w:b/>
                <w:bCs/>
                <w:lang w:val="en-US"/>
              </w:rPr>
              <w:t>Develop</w:t>
            </w:r>
            <w:r w:rsidRPr="005B2096">
              <w:rPr>
                <w:rFonts w:ascii="Calibri Light" w:hAnsi="Calibri Light" w:cs="Calibri Light"/>
                <w:lang w:val="en-US"/>
              </w:rPr>
              <w:t xml:space="preserve"> processes in partnership with the Aboriginal and Torres Strait Islander community-controlled health sector to support commissioning and other funding mechanisms such as preferred provider status for the sector to assist governments in meeting their commitments under the National Agreement </w:t>
            </w:r>
          </w:p>
          <w:p w14:paraId="6B5CDC57" w14:textId="77777777" w:rsidR="00AE7D90" w:rsidRPr="005B2096" w:rsidRDefault="00AE7D90" w:rsidP="00AB08AC">
            <w:pPr>
              <w:spacing w:after="120"/>
              <w:ind w:right="352"/>
              <w:contextualSpacing/>
              <w:rPr>
                <w:rFonts w:ascii="Calibri Light" w:hAnsi="Calibri Light" w:cs="Calibri Light"/>
                <w:color w:val="FF0000"/>
                <w:lang w:val="en-US"/>
              </w:rPr>
            </w:pPr>
          </w:p>
        </w:tc>
        <w:tc>
          <w:tcPr>
            <w:tcW w:w="1985" w:type="dxa"/>
            <w:shd w:val="clear" w:color="auto" w:fill="auto"/>
          </w:tcPr>
          <w:p w14:paraId="647DEED6" w14:textId="77777777" w:rsidR="00AE7D90" w:rsidRPr="00404E28" w:rsidRDefault="00AE7D90" w:rsidP="00AB08AC">
            <w:pPr>
              <w:spacing w:after="120"/>
              <w:contextualSpacing/>
              <w:rPr>
                <w:rFonts w:ascii="Calibri Light" w:hAnsi="Calibri Light" w:cs="Calibri Light"/>
              </w:rPr>
            </w:pPr>
            <w:r w:rsidRPr="00404E28">
              <w:rPr>
                <w:rFonts w:ascii="Calibri Light" w:hAnsi="Calibri Light" w:cs="Calibri Light"/>
              </w:rPr>
              <w:lastRenderedPageBreak/>
              <w:t>Australian Government</w:t>
            </w:r>
            <w:r w:rsidRPr="00404E28">
              <w:rPr>
                <w:rFonts w:ascii="Calibri Light" w:hAnsi="Calibri Light" w:cs="Calibri Light"/>
                <w:vertAlign w:val="superscript"/>
              </w:rPr>
              <w:t>1</w:t>
            </w:r>
          </w:p>
          <w:p w14:paraId="4E40840C" w14:textId="77777777" w:rsidR="00AE7D90" w:rsidRPr="00404E28" w:rsidRDefault="00AE7D90" w:rsidP="00AB08AC">
            <w:pPr>
              <w:spacing w:after="120"/>
              <w:contextualSpacing/>
              <w:rPr>
                <w:rFonts w:ascii="Calibri Light" w:hAnsi="Calibri Light" w:cs="Calibri Light"/>
              </w:rPr>
            </w:pPr>
          </w:p>
          <w:p w14:paraId="1C16A750" w14:textId="77777777" w:rsidR="00AE7D90" w:rsidRPr="005B2096" w:rsidRDefault="00AE7D90" w:rsidP="00AB08AC">
            <w:pPr>
              <w:spacing w:after="120"/>
              <w:contextualSpacing/>
              <w:rPr>
                <w:rFonts w:ascii="Calibri Light" w:hAnsi="Calibri Light" w:cs="Calibri Light"/>
              </w:rPr>
            </w:pPr>
            <w:r w:rsidRPr="00404E28">
              <w:rPr>
                <w:rFonts w:ascii="Calibri Light" w:hAnsi="Calibri Light" w:cs="Calibri Light"/>
              </w:rPr>
              <w:lastRenderedPageBreak/>
              <w:t>State and Territory Governments</w:t>
            </w:r>
            <w:r w:rsidRPr="00404E28">
              <w:rPr>
                <w:rFonts w:ascii="Calibri Light" w:hAnsi="Calibri Light" w:cs="Calibri Light"/>
                <w:vertAlign w:val="superscript"/>
              </w:rPr>
              <w:t>1</w:t>
            </w:r>
          </w:p>
          <w:p w14:paraId="2C1D7192" w14:textId="77777777" w:rsidR="00AE7D90" w:rsidRPr="005B2096" w:rsidRDefault="00AE7D90" w:rsidP="00AB08AC">
            <w:pPr>
              <w:spacing w:after="120"/>
              <w:contextualSpacing/>
              <w:rPr>
                <w:rFonts w:ascii="Calibri Light" w:hAnsi="Calibri Light" w:cs="Calibri Light"/>
              </w:rPr>
            </w:pPr>
          </w:p>
          <w:p w14:paraId="009AA8C9" w14:textId="77777777" w:rsidR="00AE7D90" w:rsidRPr="005B2096" w:rsidRDefault="00AE7D90" w:rsidP="00AB08AC">
            <w:pPr>
              <w:spacing w:after="120"/>
              <w:contextualSpacing/>
              <w:rPr>
                <w:rFonts w:ascii="Calibri Light" w:hAnsi="Calibri Light" w:cs="Calibri Light"/>
              </w:rPr>
            </w:pPr>
          </w:p>
          <w:p w14:paraId="4849EA15" w14:textId="77777777" w:rsidR="00AE7D90" w:rsidRPr="005B2096" w:rsidRDefault="00AE7D90" w:rsidP="00AB08AC">
            <w:pPr>
              <w:spacing w:after="120"/>
              <w:contextualSpacing/>
              <w:rPr>
                <w:rFonts w:ascii="Calibri Light" w:hAnsi="Calibri Light" w:cs="Calibri Light"/>
              </w:rPr>
            </w:pPr>
          </w:p>
          <w:p w14:paraId="56A5F0E9" w14:textId="77777777" w:rsidR="00AE7D90" w:rsidRPr="005B2096" w:rsidRDefault="00AE7D90" w:rsidP="00AB08AC">
            <w:pPr>
              <w:spacing w:after="120"/>
              <w:contextualSpacing/>
              <w:rPr>
                <w:rFonts w:ascii="Calibri Light" w:hAnsi="Calibri Light" w:cs="Calibri Light"/>
              </w:rPr>
            </w:pPr>
          </w:p>
        </w:tc>
        <w:tc>
          <w:tcPr>
            <w:tcW w:w="1842" w:type="dxa"/>
            <w:shd w:val="clear" w:color="auto" w:fill="auto"/>
          </w:tcPr>
          <w:p w14:paraId="3717F250"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lastRenderedPageBreak/>
              <w:t xml:space="preserve">Nil additional financial cost </w:t>
            </w:r>
          </w:p>
        </w:tc>
        <w:tc>
          <w:tcPr>
            <w:tcW w:w="1479" w:type="dxa"/>
            <w:shd w:val="clear" w:color="auto" w:fill="auto"/>
          </w:tcPr>
          <w:p w14:paraId="2CB7AE78" w14:textId="77777777" w:rsidR="00AE7D90" w:rsidRPr="005B2096" w:rsidRDefault="00AE7D90" w:rsidP="00AB08AC">
            <w:pPr>
              <w:spacing w:after="120"/>
              <w:contextualSpacing/>
              <w:rPr>
                <w:rFonts w:ascii="Calibri Light" w:hAnsi="Calibri Light" w:cs="Calibri Light"/>
              </w:rPr>
            </w:pPr>
            <w:r w:rsidRPr="00964CEC">
              <w:rPr>
                <w:rFonts w:ascii="Calibri Light" w:hAnsi="Calibri Light" w:cs="Calibri Light"/>
              </w:rPr>
              <w:t xml:space="preserve">To be determined </w:t>
            </w:r>
          </w:p>
        </w:tc>
      </w:tr>
      <w:tr w:rsidR="00AE7D90" w:rsidRPr="005B2096" w14:paraId="76F7F6FC" w14:textId="77777777" w:rsidTr="00AB08AC">
        <w:tc>
          <w:tcPr>
            <w:tcW w:w="581" w:type="dxa"/>
          </w:tcPr>
          <w:p w14:paraId="1334CC25"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A</w:t>
            </w:r>
            <w:r>
              <w:rPr>
                <w:rFonts w:ascii="Calibri Light" w:hAnsi="Calibri Light" w:cs="Calibri Light"/>
              </w:rPr>
              <w:t>3</w:t>
            </w:r>
          </w:p>
        </w:tc>
        <w:tc>
          <w:tcPr>
            <w:tcW w:w="3971" w:type="dxa"/>
          </w:tcPr>
          <w:p w14:paraId="6B88663B" w14:textId="77777777" w:rsidR="00AE7D90" w:rsidRPr="005B2096" w:rsidRDefault="00AE7D90" w:rsidP="00AB08AC">
            <w:pPr>
              <w:spacing w:after="120"/>
              <w:contextualSpacing/>
              <w:rPr>
                <w:rFonts w:ascii="Calibri Light" w:hAnsi="Calibri Light" w:cs="Calibri Light"/>
              </w:rPr>
            </w:pPr>
            <w:bookmarkStart w:id="38" w:name="_Hlk86132365"/>
            <w:r w:rsidRPr="005B2096">
              <w:rPr>
                <w:rFonts w:ascii="Calibri Light" w:hAnsi="Calibri Light" w:cs="Calibri Light"/>
                <w:b/>
                <w:bCs/>
              </w:rPr>
              <w:t>Optimise</w:t>
            </w:r>
            <w:r w:rsidRPr="005B2096">
              <w:rPr>
                <w:rFonts w:ascii="Calibri Light" w:hAnsi="Calibri Light" w:cs="Calibri Light"/>
              </w:rPr>
              <w:t xml:space="preserve"> utilisation of Medicare in the Aboriginal and Torres Strait Islander community-controlled health sector</w:t>
            </w:r>
          </w:p>
          <w:bookmarkEnd w:id="38"/>
          <w:p w14:paraId="6AC6C783" w14:textId="77777777" w:rsidR="00AE7D90" w:rsidRPr="005B2096" w:rsidRDefault="00AE7D90" w:rsidP="00AB08AC">
            <w:pPr>
              <w:spacing w:after="120"/>
              <w:contextualSpacing/>
              <w:rPr>
                <w:rFonts w:ascii="Calibri Light" w:hAnsi="Calibri Light" w:cs="Calibri Light"/>
                <w:color w:val="000000" w:themeColor="text1"/>
                <w:lang w:val="en-US"/>
              </w:rPr>
            </w:pPr>
          </w:p>
          <w:p w14:paraId="66E0E3F3" w14:textId="77777777" w:rsidR="00AE7D90" w:rsidRPr="005B2096" w:rsidRDefault="00AE7D90" w:rsidP="00AB08AC">
            <w:pPr>
              <w:rPr>
                <w:rFonts w:ascii="Calibri Light" w:hAnsi="Calibri Light" w:cs="Calibri Light"/>
                <w:lang w:val="en-US"/>
              </w:rPr>
            </w:pPr>
          </w:p>
          <w:p w14:paraId="5C95C8C0" w14:textId="77777777" w:rsidR="00AE7D90" w:rsidRPr="005B2096" w:rsidRDefault="00AE7D90" w:rsidP="00AB08AC">
            <w:pPr>
              <w:rPr>
                <w:rFonts w:ascii="Calibri Light" w:hAnsi="Calibri Light" w:cs="Calibri Light"/>
                <w:lang w:val="en-US"/>
              </w:rPr>
            </w:pPr>
          </w:p>
          <w:p w14:paraId="79436808" w14:textId="77777777" w:rsidR="00AE7D90" w:rsidRPr="005B2096" w:rsidRDefault="00AE7D90" w:rsidP="00AB08AC">
            <w:pPr>
              <w:tabs>
                <w:tab w:val="left" w:pos="2800"/>
              </w:tabs>
              <w:rPr>
                <w:rFonts w:ascii="Calibri Light" w:hAnsi="Calibri Light" w:cs="Calibri Light"/>
                <w:lang w:val="en-US"/>
              </w:rPr>
            </w:pPr>
            <w:r w:rsidRPr="005B2096">
              <w:rPr>
                <w:rFonts w:ascii="Calibri Light" w:hAnsi="Calibri Light" w:cs="Calibri Light"/>
                <w:lang w:val="en-US"/>
              </w:rPr>
              <w:tab/>
            </w:r>
          </w:p>
        </w:tc>
        <w:tc>
          <w:tcPr>
            <w:tcW w:w="4110" w:type="dxa"/>
          </w:tcPr>
          <w:p w14:paraId="29FAE588"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b/>
                <w:bCs/>
              </w:rPr>
              <w:t>Strengthen</w:t>
            </w:r>
            <w:r w:rsidRPr="005B2096">
              <w:rPr>
                <w:rFonts w:ascii="Calibri Light" w:hAnsi="Calibri Light" w:cs="Calibri Light"/>
              </w:rPr>
              <w:t xml:space="preserve"> organisational systems in ACCHSs to further deliver high quality, responsive and culturally safe services whilst also capitalising on MBS by:  </w:t>
            </w:r>
          </w:p>
          <w:p w14:paraId="1944582B" w14:textId="77777777" w:rsidR="00AE7D90" w:rsidRPr="005B2096" w:rsidRDefault="00AE7D90" w:rsidP="00AE7D90">
            <w:pPr>
              <w:pStyle w:val="ListParagraph"/>
              <w:numPr>
                <w:ilvl w:val="0"/>
                <w:numId w:val="36"/>
              </w:numPr>
              <w:spacing w:before="0" w:after="120"/>
              <w:contextualSpacing/>
              <w:rPr>
                <w:rFonts w:ascii="Calibri Light" w:hAnsi="Calibri Light" w:cs="Calibri Light"/>
              </w:rPr>
            </w:pPr>
            <w:r w:rsidRPr="005B2096">
              <w:rPr>
                <w:rFonts w:ascii="Calibri Light" w:hAnsi="Calibri Light" w:cs="Calibri Light"/>
              </w:rPr>
              <w:t>improving access to training resources, Sector Support Organisation advice and data</w:t>
            </w:r>
          </w:p>
          <w:p w14:paraId="6DF72137" w14:textId="77777777" w:rsidR="00AE7D90" w:rsidRPr="005B2096" w:rsidRDefault="00AE7D90" w:rsidP="00AE7D90">
            <w:pPr>
              <w:pStyle w:val="ListParagraph"/>
              <w:numPr>
                <w:ilvl w:val="0"/>
                <w:numId w:val="36"/>
              </w:numPr>
              <w:spacing w:before="0" w:after="120"/>
              <w:contextualSpacing/>
              <w:rPr>
                <w:rFonts w:ascii="Calibri Light" w:hAnsi="Calibri Light" w:cs="Calibri Light"/>
              </w:rPr>
            </w:pPr>
            <w:r w:rsidRPr="005B2096">
              <w:rPr>
                <w:rFonts w:ascii="Calibri Light" w:hAnsi="Calibri Light" w:cs="Calibri Light"/>
              </w:rPr>
              <w:lastRenderedPageBreak/>
              <w:t xml:space="preserve">educating corporate and clinical staff about the Medicare system </w:t>
            </w:r>
          </w:p>
        </w:tc>
        <w:tc>
          <w:tcPr>
            <w:tcW w:w="1985" w:type="dxa"/>
            <w:shd w:val="clear" w:color="auto" w:fill="auto"/>
          </w:tcPr>
          <w:p w14:paraId="3CC232A4" w14:textId="77777777" w:rsidR="00AE7D90" w:rsidRPr="005B2096" w:rsidRDefault="00AE7D90" w:rsidP="002D2CE0">
            <w:pPr>
              <w:spacing w:before="0" w:after="120"/>
              <w:contextualSpacing/>
              <w:rPr>
                <w:rFonts w:ascii="Calibri Light" w:hAnsi="Calibri Light" w:cs="Calibri Light"/>
              </w:rPr>
            </w:pPr>
            <w:r w:rsidRPr="005B2096">
              <w:rPr>
                <w:rFonts w:ascii="Calibri Light" w:hAnsi="Calibri Light" w:cs="Calibri Light"/>
              </w:rPr>
              <w:lastRenderedPageBreak/>
              <w:t xml:space="preserve">Australian Government Department of Health  </w:t>
            </w:r>
          </w:p>
          <w:p w14:paraId="011D9A91" w14:textId="77777777" w:rsidR="00AE7D90" w:rsidRPr="005B2096" w:rsidRDefault="00AE7D90" w:rsidP="00AB08AC">
            <w:pPr>
              <w:spacing w:after="120"/>
              <w:contextualSpacing/>
              <w:rPr>
                <w:rFonts w:ascii="Calibri Light" w:hAnsi="Calibri Light" w:cs="Calibri Light"/>
              </w:rPr>
            </w:pPr>
          </w:p>
          <w:p w14:paraId="67BF701C"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NACCHO</w:t>
            </w:r>
          </w:p>
          <w:p w14:paraId="363CCE4C" w14:textId="77777777" w:rsidR="00AE7D90" w:rsidRPr="005B2096" w:rsidRDefault="00AE7D90" w:rsidP="00AB08AC">
            <w:pPr>
              <w:spacing w:after="120"/>
              <w:contextualSpacing/>
              <w:rPr>
                <w:rFonts w:ascii="Calibri Light" w:hAnsi="Calibri Light" w:cs="Calibri Light"/>
              </w:rPr>
            </w:pPr>
          </w:p>
          <w:p w14:paraId="55C2FCAB"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lastRenderedPageBreak/>
              <w:t>Sector Support Organisations</w:t>
            </w:r>
          </w:p>
        </w:tc>
        <w:tc>
          <w:tcPr>
            <w:tcW w:w="1842" w:type="dxa"/>
            <w:shd w:val="clear" w:color="auto" w:fill="auto"/>
          </w:tcPr>
          <w:p w14:paraId="34641BC4"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lastRenderedPageBreak/>
              <w:t>$3.7 million (estimated)</w:t>
            </w:r>
          </w:p>
          <w:p w14:paraId="7F89FA67" w14:textId="77777777" w:rsidR="00AE7D90" w:rsidRPr="005B2096" w:rsidRDefault="00AE7D90" w:rsidP="00AB08AC">
            <w:pPr>
              <w:spacing w:after="120"/>
              <w:contextualSpacing/>
              <w:rPr>
                <w:rFonts w:ascii="Calibri Light" w:hAnsi="Calibri Light" w:cs="Calibri Light"/>
              </w:rPr>
            </w:pPr>
          </w:p>
          <w:p w14:paraId="6B583734" w14:textId="77777777" w:rsidR="00AE7D90" w:rsidRPr="005B2096" w:rsidRDefault="00AE7D90" w:rsidP="00AB08AC">
            <w:pPr>
              <w:spacing w:after="120"/>
              <w:contextualSpacing/>
              <w:rPr>
                <w:rFonts w:ascii="Calibri Light" w:hAnsi="Calibri Light" w:cs="Calibri Light"/>
              </w:rPr>
            </w:pPr>
          </w:p>
        </w:tc>
        <w:tc>
          <w:tcPr>
            <w:tcW w:w="1479" w:type="dxa"/>
            <w:shd w:val="clear" w:color="auto" w:fill="auto"/>
          </w:tcPr>
          <w:p w14:paraId="324AB469" w14:textId="77777777" w:rsidR="00AE7D90" w:rsidRPr="005B2096" w:rsidRDefault="00AE7D90" w:rsidP="00AB08AC">
            <w:pPr>
              <w:spacing w:after="120"/>
              <w:contextualSpacing/>
              <w:rPr>
                <w:rFonts w:ascii="Calibri Light" w:hAnsi="Calibri Light" w:cs="Calibri Light"/>
              </w:rPr>
            </w:pPr>
            <w:r w:rsidRPr="00964CEC">
              <w:rPr>
                <w:rFonts w:ascii="Calibri Light" w:hAnsi="Calibri Light" w:cs="Calibri Light"/>
              </w:rPr>
              <w:t xml:space="preserve">To be determined </w:t>
            </w:r>
          </w:p>
        </w:tc>
      </w:tr>
    </w:tbl>
    <w:p w14:paraId="061A5443" w14:textId="77777777" w:rsidR="00AE7D90" w:rsidRDefault="00AE7D90" w:rsidP="00AE7D90">
      <w:pPr>
        <w:spacing w:after="120" w:line="240" w:lineRule="auto"/>
        <w:rPr>
          <w:rFonts w:ascii="Calibri Light" w:hAnsi="Calibri Light" w:cs="Calibri Light"/>
          <w:sz w:val="16"/>
          <w:szCs w:val="16"/>
        </w:rPr>
      </w:pPr>
      <w:r w:rsidRPr="005B2096">
        <w:rPr>
          <w:rFonts w:ascii="Calibri Light" w:hAnsi="Calibri Light" w:cs="Calibri Light"/>
          <w:sz w:val="16"/>
          <w:szCs w:val="16"/>
        </w:rPr>
        <w:t>1. Commonwealth, state and territory governments implementing their commitments under the National Agreement including their respective jurisdictional Implementation Plans</w:t>
      </w:r>
    </w:p>
    <w:p w14:paraId="3B1F3527" w14:textId="77777777" w:rsidR="00AE7D90" w:rsidRDefault="00AE7D90" w:rsidP="00AE7D90">
      <w:pPr>
        <w:spacing w:after="120" w:line="240" w:lineRule="auto"/>
        <w:rPr>
          <w:rFonts w:ascii="Calibri Light" w:hAnsi="Calibri Light" w:cs="Calibri Light"/>
          <w:sz w:val="16"/>
          <w:szCs w:val="16"/>
        </w:rPr>
      </w:pPr>
      <w:r w:rsidRPr="005B2096">
        <w:rPr>
          <w:rFonts w:ascii="Calibri Light" w:hAnsi="Calibri Light" w:cs="Calibri Light"/>
          <w:sz w:val="16"/>
          <w:szCs w:val="16"/>
        </w:rPr>
        <w:t>2. This process to develop the model is funded through the Indigenous Australians Health program and will identify gaps, funding shortfalls and potential sources of funding</w:t>
      </w:r>
    </w:p>
    <w:p w14:paraId="1F6C8976" w14:textId="3FB9465A" w:rsidR="00C44A6E" w:rsidRDefault="00C44A6E">
      <w:pPr>
        <w:spacing w:before="0"/>
        <w:rPr>
          <w:lang w:val="en-AU"/>
        </w:rPr>
      </w:pPr>
      <w:r>
        <w:rPr>
          <w:lang w:val="en-AU"/>
        </w:rPr>
        <w:br w:type="page"/>
      </w:r>
    </w:p>
    <w:p w14:paraId="0F3870AF" w14:textId="1FBB2AFF" w:rsidR="00CE1B37" w:rsidRPr="00F76F34" w:rsidRDefault="00F76F34" w:rsidP="00036CD7">
      <w:pPr>
        <w:pStyle w:val="h3"/>
      </w:pPr>
      <w:bookmarkStart w:id="39" w:name="_Toc86928764"/>
      <w:bookmarkStart w:id="40" w:name="_Toc86929271"/>
      <w:bookmarkStart w:id="41" w:name="_Toc88818202"/>
      <w:bookmarkEnd w:id="37"/>
      <w:r w:rsidRPr="00F76F34">
        <w:lastRenderedPageBreak/>
        <w:t>Workforce</w:t>
      </w:r>
      <w:bookmarkEnd w:id="39"/>
      <w:bookmarkEnd w:id="40"/>
      <w:bookmarkEnd w:id="41"/>
    </w:p>
    <w:p w14:paraId="2E065C0B" w14:textId="37BD04F1" w:rsidR="00AE7D90" w:rsidRPr="005B2096" w:rsidRDefault="00AE7D90" w:rsidP="005956DA">
      <w:pPr>
        <w:spacing w:after="120" w:line="240" w:lineRule="auto"/>
        <w:ind w:right="352"/>
        <w:rPr>
          <w:rFonts w:ascii="Calibri Light" w:hAnsi="Calibri Light" w:cs="Calibri Light"/>
          <w:b/>
          <w:bCs/>
          <w:color w:val="000090"/>
          <w:lang w:val="en-US"/>
        </w:rPr>
      </w:pPr>
      <w:bookmarkStart w:id="42" w:name="_Toc79523348"/>
      <w:r w:rsidRPr="005B2096">
        <w:rPr>
          <w:rFonts w:ascii="Calibri Light" w:hAnsi="Calibri Light" w:cs="Calibri Light"/>
          <w:b/>
          <w:bCs/>
          <w:color w:val="000090"/>
        </w:rPr>
        <w:t xml:space="preserve">OUTCOME: </w:t>
      </w:r>
      <w:r w:rsidRPr="005B2096">
        <w:rPr>
          <w:rFonts w:ascii="Calibri Light" w:hAnsi="Calibri Light" w:cs="Calibri Light"/>
          <w:b/>
          <w:bCs/>
          <w:color w:val="000090"/>
          <w:lang w:val="en-US"/>
        </w:rPr>
        <w:t>The Aboriginal and Torres Strait Islander community-controlled health sector achieves its own workforce targets including for recruitment and retention in clinical and non-clinical positions in conjunction with implementation of the National Aboriginal and Torres Strait Islander Health Workforce Strategic Framework and Implementation Plan 2021-2031.</w:t>
      </w:r>
    </w:p>
    <w:tbl>
      <w:tblPr>
        <w:tblStyle w:val="TableGrid"/>
        <w:tblW w:w="0" w:type="auto"/>
        <w:tblLook w:val="04A0" w:firstRow="1" w:lastRow="0" w:firstColumn="1" w:lastColumn="0" w:noHBand="0" w:noVBand="1"/>
        <w:tblCaption w:val="Action Table - Workforce"/>
        <w:tblDescription w:val="A table with actions, descriptons, responsibilities, resources and timelines for Otcome - The Aboriginal and Torres Strait Islander community-controlled health sector achieves its own workforce targets including for recruitment and retention in clinical and non-clinical positions in conjunction with implementation of the National Aboriginal and Torres Strait Islander Health Workforce Strategic Framework and Implementation Plan 2021-2031."/>
      </w:tblPr>
      <w:tblGrid>
        <w:gridCol w:w="580"/>
        <w:gridCol w:w="3653"/>
        <w:gridCol w:w="4282"/>
        <w:gridCol w:w="1868"/>
        <w:gridCol w:w="1783"/>
        <w:gridCol w:w="1784"/>
      </w:tblGrid>
      <w:tr w:rsidR="00AE7D90" w14:paraId="2880C4E6" w14:textId="77777777" w:rsidTr="00AB08AC">
        <w:trPr>
          <w:tblHeader/>
        </w:trPr>
        <w:tc>
          <w:tcPr>
            <w:tcW w:w="581" w:type="dxa"/>
            <w:shd w:val="clear" w:color="auto" w:fill="D9E2F3" w:themeFill="accent1" w:themeFillTint="33"/>
          </w:tcPr>
          <w:p w14:paraId="4505D6DB" w14:textId="77777777" w:rsidR="00AE7D90" w:rsidRPr="005B2096" w:rsidRDefault="00AE7D90" w:rsidP="00AB08AC">
            <w:pPr>
              <w:spacing w:after="120"/>
              <w:rPr>
                <w:rFonts w:ascii="Calibri Light" w:hAnsi="Calibri Light" w:cs="Calibri Light"/>
                <w:b/>
                <w:bCs/>
              </w:rPr>
            </w:pPr>
            <w:r w:rsidRPr="005B2096">
              <w:rPr>
                <w:rFonts w:ascii="Calibri Light" w:hAnsi="Calibri Light" w:cs="Calibri Light"/>
                <w:b/>
                <w:bCs/>
              </w:rPr>
              <w:t>No.</w:t>
            </w:r>
          </w:p>
        </w:tc>
        <w:tc>
          <w:tcPr>
            <w:tcW w:w="3688" w:type="dxa"/>
            <w:shd w:val="clear" w:color="auto" w:fill="D9E2F3" w:themeFill="accent1" w:themeFillTint="33"/>
          </w:tcPr>
          <w:p w14:paraId="0C1066A1" w14:textId="77777777" w:rsidR="00AE7D90" w:rsidRPr="005B2096" w:rsidRDefault="00AE7D90" w:rsidP="00AB08AC">
            <w:pPr>
              <w:spacing w:after="120"/>
              <w:rPr>
                <w:rFonts w:ascii="Calibri Light" w:hAnsi="Calibri Light" w:cs="Calibri Light"/>
                <w:b/>
                <w:bCs/>
              </w:rPr>
            </w:pPr>
            <w:r w:rsidRPr="005B2096">
              <w:rPr>
                <w:rFonts w:ascii="Calibri Light" w:hAnsi="Calibri Light" w:cs="Calibri Light"/>
                <w:b/>
                <w:bCs/>
              </w:rPr>
              <w:t>ACTION</w:t>
            </w:r>
          </w:p>
        </w:tc>
        <w:tc>
          <w:tcPr>
            <w:tcW w:w="4323" w:type="dxa"/>
            <w:shd w:val="clear" w:color="auto" w:fill="D9E2F3" w:themeFill="accent1" w:themeFillTint="33"/>
          </w:tcPr>
          <w:p w14:paraId="6C3DE482" w14:textId="77777777" w:rsidR="00AE7D90" w:rsidRPr="005B2096" w:rsidRDefault="00AE7D90" w:rsidP="00AB08AC">
            <w:pPr>
              <w:spacing w:after="120"/>
              <w:rPr>
                <w:rFonts w:ascii="Calibri Light" w:hAnsi="Calibri Light" w:cs="Calibri Light"/>
                <w:b/>
                <w:bCs/>
              </w:rPr>
            </w:pPr>
            <w:r w:rsidRPr="005B2096">
              <w:rPr>
                <w:rFonts w:ascii="Calibri Light" w:hAnsi="Calibri Light" w:cs="Calibri Light"/>
                <w:b/>
                <w:bCs/>
              </w:rPr>
              <w:t>Description</w:t>
            </w:r>
          </w:p>
        </w:tc>
        <w:tc>
          <w:tcPr>
            <w:tcW w:w="1873" w:type="dxa"/>
            <w:tcBorders>
              <w:bottom w:val="single" w:sz="4" w:space="0" w:color="auto"/>
            </w:tcBorders>
            <w:shd w:val="clear" w:color="auto" w:fill="D9E2F3" w:themeFill="accent1" w:themeFillTint="33"/>
          </w:tcPr>
          <w:p w14:paraId="1D744E02" w14:textId="77777777" w:rsidR="00AE7D90" w:rsidRPr="005B2096" w:rsidRDefault="00AE7D90" w:rsidP="00AB08AC">
            <w:pPr>
              <w:spacing w:after="120"/>
              <w:rPr>
                <w:rFonts w:ascii="Calibri Light" w:hAnsi="Calibri Light" w:cs="Calibri Light"/>
                <w:b/>
                <w:bCs/>
              </w:rPr>
            </w:pPr>
            <w:r w:rsidRPr="005B2096">
              <w:rPr>
                <w:rFonts w:ascii="Calibri Light" w:hAnsi="Calibri Light" w:cs="Calibri Light"/>
                <w:b/>
                <w:bCs/>
              </w:rPr>
              <w:t>Responsibilities</w:t>
            </w:r>
          </w:p>
        </w:tc>
        <w:tc>
          <w:tcPr>
            <w:tcW w:w="1792" w:type="dxa"/>
            <w:tcBorders>
              <w:bottom w:val="single" w:sz="4" w:space="0" w:color="auto"/>
            </w:tcBorders>
            <w:shd w:val="clear" w:color="auto" w:fill="D9E2F3" w:themeFill="accent1" w:themeFillTint="33"/>
          </w:tcPr>
          <w:p w14:paraId="11E16318" w14:textId="77777777" w:rsidR="00AE7D90" w:rsidRPr="005B2096" w:rsidRDefault="00AE7D90" w:rsidP="00AB08AC">
            <w:pPr>
              <w:spacing w:after="120"/>
              <w:rPr>
                <w:rFonts w:ascii="Calibri Light" w:hAnsi="Calibri Light" w:cs="Calibri Light"/>
                <w:b/>
                <w:bCs/>
              </w:rPr>
            </w:pPr>
            <w:r w:rsidRPr="005B2096">
              <w:rPr>
                <w:rFonts w:ascii="Calibri Light" w:hAnsi="Calibri Light" w:cs="Calibri Light"/>
                <w:b/>
                <w:bCs/>
              </w:rPr>
              <w:t>Resources</w:t>
            </w:r>
          </w:p>
        </w:tc>
        <w:tc>
          <w:tcPr>
            <w:tcW w:w="1793" w:type="dxa"/>
            <w:tcBorders>
              <w:bottom w:val="single" w:sz="4" w:space="0" w:color="auto"/>
            </w:tcBorders>
            <w:shd w:val="clear" w:color="auto" w:fill="D9E2F3" w:themeFill="accent1" w:themeFillTint="33"/>
          </w:tcPr>
          <w:p w14:paraId="0EA34452" w14:textId="77777777" w:rsidR="00AE7D90" w:rsidRPr="005B2096" w:rsidRDefault="00AE7D90" w:rsidP="00AB08AC">
            <w:pPr>
              <w:spacing w:after="120"/>
              <w:rPr>
                <w:rFonts w:ascii="Calibri Light" w:hAnsi="Calibri Light" w:cs="Calibri Light"/>
                <w:b/>
                <w:bCs/>
              </w:rPr>
            </w:pPr>
            <w:r w:rsidRPr="005B2096">
              <w:rPr>
                <w:rFonts w:ascii="Calibri Light" w:hAnsi="Calibri Light" w:cs="Calibri Light"/>
                <w:b/>
                <w:bCs/>
              </w:rPr>
              <w:t>Timelines</w:t>
            </w:r>
          </w:p>
        </w:tc>
      </w:tr>
      <w:tr w:rsidR="00AE7D90" w:rsidRPr="00726E57" w14:paraId="05DC96AC" w14:textId="77777777" w:rsidTr="00AB08AC">
        <w:tc>
          <w:tcPr>
            <w:tcW w:w="581" w:type="dxa"/>
          </w:tcPr>
          <w:p w14:paraId="6F0E6D7D"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A4</w:t>
            </w:r>
          </w:p>
        </w:tc>
        <w:tc>
          <w:tcPr>
            <w:tcW w:w="3688" w:type="dxa"/>
          </w:tcPr>
          <w:p w14:paraId="178B4E9F" w14:textId="77777777" w:rsidR="00AE7D90" w:rsidRPr="005B2096" w:rsidRDefault="00AE7D90" w:rsidP="00AB08AC">
            <w:pPr>
              <w:spacing w:after="120"/>
              <w:contextualSpacing/>
              <w:rPr>
                <w:rFonts w:ascii="Calibri Light" w:hAnsi="Calibri Light" w:cs="Calibri Light"/>
              </w:rPr>
            </w:pPr>
            <w:bookmarkStart w:id="43" w:name="_Hlk86132393"/>
            <w:r w:rsidRPr="005B2096">
              <w:rPr>
                <w:rFonts w:ascii="Calibri Light" w:hAnsi="Calibri Light" w:cs="Calibri Light"/>
                <w:b/>
                <w:bCs/>
                <w:lang w:val="en-US"/>
              </w:rPr>
              <w:t>Invest in</w:t>
            </w:r>
            <w:r w:rsidRPr="005B2096">
              <w:rPr>
                <w:rFonts w:ascii="Calibri Light" w:hAnsi="Calibri Light" w:cs="Calibri Light"/>
                <w:lang w:val="en-US"/>
              </w:rPr>
              <w:t xml:space="preserve"> a permanent,</w:t>
            </w:r>
            <w:r w:rsidRPr="005B2096">
              <w:rPr>
                <w:rFonts w:ascii="Calibri Light" w:hAnsi="Calibri Light" w:cs="Calibri Light"/>
                <w:color w:val="000000" w:themeColor="text1"/>
                <w:lang w:val="en-US"/>
              </w:rPr>
              <w:t xml:space="preserve"> highly skilled, and nationally credentialed Aboriginal and Torres Strait Islander Environmental Health workforce</w:t>
            </w:r>
            <w:bookmarkEnd w:id="43"/>
          </w:p>
        </w:tc>
        <w:tc>
          <w:tcPr>
            <w:tcW w:w="4323" w:type="dxa"/>
          </w:tcPr>
          <w:p w14:paraId="5653E721"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b/>
                <w:bCs/>
              </w:rPr>
              <w:t>Develop</w:t>
            </w:r>
            <w:r w:rsidRPr="005B2096">
              <w:rPr>
                <w:rFonts w:ascii="Calibri Light" w:hAnsi="Calibri Light" w:cs="Calibri Light"/>
              </w:rPr>
              <w:t xml:space="preserve"> a roadmap for Aboriginal and Torres Strait Islander environmental health workforce by: </w:t>
            </w:r>
          </w:p>
          <w:p w14:paraId="6BD6ADC2" w14:textId="77777777" w:rsidR="00AE7D90" w:rsidRPr="005B2096" w:rsidRDefault="00AE7D90" w:rsidP="00AE7D90">
            <w:pPr>
              <w:pStyle w:val="ListParagraph"/>
              <w:numPr>
                <w:ilvl w:val="0"/>
                <w:numId w:val="36"/>
              </w:numPr>
              <w:spacing w:before="0" w:after="120"/>
              <w:contextualSpacing/>
              <w:rPr>
                <w:rFonts w:ascii="Calibri Light" w:hAnsi="Calibri Light" w:cs="Calibri Light"/>
              </w:rPr>
            </w:pPr>
            <w:r w:rsidRPr="005B2096">
              <w:rPr>
                <w:rFonts w:ascii="Calibri Light" w:hAnsi="Calibri Light" w:cs="Calibri Light"/>
              </w:rPr>
              <w:t>identifying practical and effective strategies including existing and previously defunded training courses to increase the number of Aboriginal and Torres Strait Islander people who wish to become qualified and employed in environmental health services.</w:t>
            </w:r>
          </w:p>
          <w:p w14:paraId="25D4E456" w14:textId="77777777" w:rsidR="00AE7D90" w:rsidRPr="005B2096" w:rsidRDefault="00AE7D90" w:rsidP="00AE7D90">
            <w:pPr>
              <w:pStyle w:val="ListParagraph"/>
              <w:numPr>
                <w:ilvl w:val="0"/>
                <w:numId w:val="36"/>
              </w:numPr>
              <w:spacing w:before="0" w:after="120"/>
              <w:contextualSpacing/>
              <w:rPr>
                <w:rFonts w:ascii="Calibri Light" w:hAnsi="Calibri Light" w:cs="Calibri Light"/>
              </w:rPr>
            </w:pPr>
            <w:r w:rsidRPr="005B2096">
              <w:rPr>
                <w:rFonts w:ascii="Calibri Light" w:hAnsi="Calibri Light" w:cs="Calibri Light"/>
              </w:rPr>
              <w:t>identifying scope of practice in diverse contexts, career pathways, career advancement, retention and professional development including leadership and community development skills.</w:t>
            </w:r>
          </w:p>
          <w:p w14:paraId="734890A1" w14:textId="77777777" w:rsidR="00AE7D90" w:rsidRPr="005B2096" w:rsidRDefault="00AE7D90" w:rsidP="00AE7D90">
            <w:pPr>
              <w:pStyle w:val="ListParagraph"/>
              <w:numPr>
                <w:ilvl w:val="0"/>
                <w:numId w:val="37"/>
              </w:numPr>
              <w:spacing w:before="100" w:beforeAutospacing="1" w:after="100" w:afterAutospacing="1"/>
              <w:ind w:left="357" w:hanging="357"/>
              <w:contextualSpacing/>
              <w:rPr>
                <w:rFonts w:ascii="Calibri Light" w:hAnsi="Calibri Light" w:cs="Calibri Light"/>
              </w:rPr>
            </w:pPr>
            <w:r w:rsidRPr="005B2096">
              <w:rPr>
                <w:rFonts w:ascii="Calibri Light" w:hAnsi="Calibri Light" w:cs="Calibri Light"/>
              </w:rPr>
              <w:t xml:space="preserve">modelling costs for a national environmental health workforce based on population need </w:t>
            </w:r>
          </w:p>
        </w:tc>
        <w:tc>
          <w:tcPr>
            <w:tcW w:w="1873" w:type="dxa"/>
            <w:shd w:val="clear" w:color="auto" w:fill="auto"/>
          </w:tcPr>
          <w:p w14:paraId="41E16514" w14:textId="77777777" w:rsidR="00AE7D90" w:rsidRPr="005B2096" w:rsidRDefault="00AE7D90" w:rsidP="002D2CE0">
            <w:pPr>
              <w:spacing w:before="0" w:after="120"/>
              <w:contextualSpacing/>
              <w:rPr>
                <w:rFonts w:ascii="Calibri Light" w:hAnsi="Calibri Light" w:cs="Calibri Light"/>
              </w:rPr>
            </w:pPr>
            <w:r w:rsidRPr="005B2096">
              <w:rPr>
                <w:rFonts w:ascii="Calibri Light" w:hAnsi="Calibri Light" w:cs="Calibri Light"/>
              </w:rPr>
              <w:t>NACCHO</w:t>
            </w:r>
          </w:p>
          <w:p w14:paraId="7EEF7C04" w14:textId="77777777" w:rsidR="00AE7D90" w:rsidRPr="005B2096" w:rsidRDefault="00AE7D90" w:rsidP="00AB08AC">
            <w:pPr>
              <w:spacing w:after="120"/>
              <w:contextualSpacing/>
              <w:rPr>
                <w:rFonts w:ascii="Calibri Light" w:hAnsi="Calibri Light" w:cs="Calibri Light"/>
              </w:rPr>
            </w:pPr>
          </w:p>
          <w:p w14:paraId="447597CB"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Sector Support Organisations</w:t>
            </w:r>
          </w:p>
          <w:p w14:paraId="6E4D27C7" w14:textId="77777777" w:rsidR="00AE7D90" w:rsidRPr="005B2096" w:rsidRDefault="00AE7D90" w:rsidP="00AB08AC">
            <w:pPr>
              <w:spacing w:after="120"/>
              <w:contextualSpacing/>
              <w:rPr>
                <w:rFonts w:ascii="Calibri Light" w:hAnsi="Calibri Light" w:cs="Calibri Light"/>
              </w:rPr>
            </w:pPr>
          </w:p>
          <w:p w14:paraId="20FBDFC0" w14:textId="77777777" w:rsidR="00AE7D90" w:rsidRPr="00404E28" w:rsidRDefault="00AE7D90" w:rsidP="00AB08AC">
            <w:pPr>
              <w:spacing w:after="120"/>
              <w:contextualSpacing/>
              <w:rPr>
                <w:rFonts w:ascii="Calibri Light" w:hAnsi="Calibri Light" w:cs="Calibri Light"/>
              </w:rPr>
            </w:pPr>
            <w:r w:rsidRPr="00404E28">
              <w:rPr>
                <w:rFonts w:ascii="Calibri Light" w:hAnsi="Calibri Light" w:cs="Calibri Light"/>
              </w:rPr>
              <w:t>Australian Government</w:t>
            </w:r>
            <w:r w:rsidRPr="00404E28">
              <w:rPr>
                <w:rFonts w:ascii="Calibri Light" w:hAnsi="Calibri Light" w:cs="Calibri Light"/>
                <w:vertAlign w:val="superscript"/>
              </w:rPr>
              <w:t>1</w:t>
            </w:r>
          </w:p>
          <w:p w14:paraId="79C3964C" w14:textId="77777777" w:rsidR="00AE7D90" w:rsidRPr="00404E28" w:rsidRDefault="00AE7D90" w:rsidP="00AB08AC">
            <w:pPr>
              <w:spacing w:after="120"/>
              <w:contextualSpacing/>
              <w:rPr>
                <w:rFonts w:ascii="Calibri Light" w:hAnsi="Calibri Light" w:cs="Calibri Light"/>
              </w:rPr>
            </w:pPr>
          </w:p>
          <w:p w14:paraId="5F69E1BC" w14:textId="77777777" w:rsidR="00AE7D90" w:rsidRPr="005B2096" w:rsidRDefault="00AE7D90" w:rsidP="00AB08AC">
            <w:pPr>
              <w:spacing w:after="120"/>
              <w:contextualSpacing/>
              <w:rPr>
                <w:rFonts w:ascii="Calibri Light" w:hAnsi="Calibri Light" w:cs="Calibri Light"/>
              </w:rPr>
            </w:pPr>
            <w:r w:rsidRPr="00404E28">
              <w:rPr>
                <w:rFonts w:ascii="Calibri Light" w:hAnsi="Calibri Light" w:cs="Calibri Light"/>
              </w:rPr>
              <w:t>State and Territory Governments</w:t>
            </w:r>
            <w:r w:rsidRPr="00404E28">
              <w:rPr>
                <w:rFonts w:ascii="Calibri Light" w:hAnsi="Calibri Light" w:cs="Calibri Light"/>
                <w:vertAlign w:val="superscript"/>
              </w:rPr>
              <w:t>1</w:t>
            </w:r>
          </w:p>
          <w:p w14:paraId="7C05DA83" w14:textId="77777777" w:rsidR="00AE7D90" w:rsidRPr="005B2096" w:rsidRDefault="00AE7D90" w:rsidP="00AB08AC">
            <w:pPr>
              <w:spacing w:after="120"/>
              <w:contextualSpacing/>
              <w:rPr>
                <w:rFonts w:ascii="Calibri Light" w:hAnsi="Calibri Light" w:cs="Calibri Light"/>
              </w:rPr>
            </w:pPr>
          </w:p>
          <w:p w14:paraId="079CBF0A" w14:textId="77777777" w:rsidR="00AE7D90" w:rsidRPr="005B2096" w:rsidRDefault="00AE7D90" w:rsidP="00AB08AC">
            <w:pPr>
              <w:spacing w:after="120"/>
              <w:contextualSpacing/>
              <w:rPr>
                <w:rFonts w:ascii="Calibri Light" w:hAnsi="Calibri Light" w:cs="Calibri Light"/>
              </w:rPr>
            </w:pPr>
          </w:p>
          <w:p w14:paraId="2359A865" w14:textId="77777777" w:rsidR="00AE7D90" w:rsidRPr="005B2096" w:rsidRDefault="00AE7D90" w:rsidP="00AB08AC">
            <w:pPr>
              <w:spacing w:after="120"/>
              <w:contextualSpacing/>
              <w:rPr>
                <w:rFonts w:ascii="Calibri Light" w:hAnsi="Calibri Light" w:cs="Calibri Light"/>
              </w:rPr>
            </w:pPr>
          </w:p>
          <w:p w14:paraId="419DE24A" w14:textId="77777777" w:rsidR="00AE7D90" w:rsidRPr="005B2096" w:rsidRDefault="00AE7D90" w:rsidP="00AB08AC">
            <w:pPr>
              <w:spacing w:after="120"/>
              <w:contextualSpacing/>
              <w:rPr>
                <w:rFonts w:ascii="Calibri Light" w:hAnsi="Calibri Light" w:cs="Calibri Light"/>
              </w:rPr>
            </w:pPr>
          </w:p>
          <w:p w14:paraId="60FF022E" w14:textId="77777777" w:rsidR="00AE7D90" w:rsidRPr="005B2096" w:rsidRDefault="00AE7D90" w:rsidP="00AB08AC">
            <w:pPr>
              <w:spacing w:after="120"/>
              <w:contextualSpacing/>
              <w:rPr>
                <w:rFonts w:ascii="Calibri Light" w:hAnsi="Calibri Light" w:cs="Calibri Light"/>
              </w:rPr>
            </w:pPr>
          </w:p>
          <w:p w14:paraId="32037BA0" w14:textId="77777777" w:rsidR="00AE7D90" w:rsidRPr="005B2096" w:rsidRDefault="00AE7D90" w:rsidP="00AB08AC">
            <w:pPr>
              <w:spacing w:after="120"/>
              <w:contextualSpacing/>
              <w:rPr>
                <w:rFonts w:ascii="Calibri Light" w:hAnsi="Calibri Light" w:cs="Calibri Light"/>
              </w:rPr>
            </w:pPr>
          </w:p>
        </w:tc>
        <w:tc>
          <w:tcPr>
            <w:tcW w:w="1792" w:type="dxa"/>
            <w:shd w:val="clear" w:color="auto" w:fill="auto"/>
          </w:tcPr>
          <w:p w14:paraId="4AAA6598"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To be determined</w:t>
            </w:r>
          </w:p>
        </w:tc>
        <w:tc>
          <w:tcPr>
            <w:tcW w:w="1793" w:type="dxa"/>
            <w:shd w:val="clear" w:color="auto" w:fill="auto"/>
          </w:tcPr>
          <w:p w14:paraId="0608421A" w14:textId="77777777" w:rsidR="00AE7D90" w:rsidRPr="005B2096" w:rsidRDefault="00AE7D90" w:rsidP="00AB08AC">
            <w:pPr>
              <w:spacing w:after="120"/>
              <w:contextualSpacing/>
              <w:rPr>
                <w:rFonts w:ascii="Calibri Light" w:hAnsi="Calibri Light" w:cs="Calibri Light"/>
              </w:rPr>
            </w:pPr>
            <w:r w:rsidRPr="00964CEC">
              <w:rPr>
                <w:rFonts w:ascii="Calibri Light" w:hAnsi="Calibri Light" w:cs="Calibri Light"/>
              </w:rPr>
              <w:t xml:space="preserve">To be determined </w:t>
            </w:r>
          </w:p>
        </w:tc>
      </w:tr>
      <w:tr w:rsidR="00AE7D90" w:rsidRPr="00726E57" w14:paraId="2588FF0B" w14:textId="77777777" w:rsidTr="00AB08AC">
        <w:tc>
          <w:tcPr>
            <w:tcW w:w="581" w:type="dxa"/>
          </w:tcPr>
          <w:p w14:paraId="7A8CF2F0"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A5</w:t>
            </w:r>
          </w:p>
        </w:tc>
        <w:tc>
          <w:tcPr>
            <w:tcW w:w="3688" w:type="dxa"/>
          </w:tcPr>
          <w:p w14:paraId="0C50D2B5" w14:textId="77777777" w:rsidR="00AE7D90" w:rsidRPr="005B2096" w:rsidRDefault="00AE7D90" w:rsidP="00AB08AC">
            <w:pPr>
              <w:spacing w:after="120"/>
              <w:contextualSpacing/>
              <w:rPr>
                <w:rFonts w:ascii="Calibri Light" w:hAnsi="Calibri Light" w:cs="Calibri Light"/>
              </w:rPr>
            </w:pPr>
            <w:bookmarkStart w:id="44" w:name="_Hlk86132408"/>
            <w:r w:rsidRPr="005B2096">
              <w:rPr>
                <w:rFonts w:ascii="Calibri Light" w:hAnsi="Calibri Light" w:cs="Calibri Light"/>
                <w:b/>
                <w:bCs/>
                <w:color w:val="000000" w:themeColor="text1"/>
                <w:lang w:val="en-US"/>
              </w:rPr>
              <w:t>Build</w:t>
            </w:r>
            <w:r w:rsidRPr="005B2096">
              <w:rPr>
                <w:rFonts w:ascii="Calibri Light" w:hAnsi="Calibri Light" w:cs="Calibri Light"/>
                <w:color w:val="000000" w:themeColor="text1"/>
                <w:lang w:val="en-US"/>
              </w:rPr>
              <w:t xml:space="preserve"> community-controlled RTO capacity and improve the quality of RTO training within or linked to community-controlled health </w:t>
            </w:r>
            <w:proofErr w:type="spellStart"/>
            <w:r w:rsidRPr="005B2096">
              <w:rPr>
                <w:rFonts w:ascii="Calibri Light" w:hAnsi="Calibri Light" w:cs="Calibri Light"/>
                <w:color w:val="000000" w:themeColor="text1"/>
                <w:lang w:val="en-US"/>
              </w:rPr>
              <w:t>organisations</w:t>
            </w:r>
            <w:bookmarkEnd w:id="44"/>
            <w:proofErr w:type="spellEnd"/>
          </w:p>
        </w:tc>
        <w:tc>
          <w:tcPr>
            <w:tcW w:w="4323" w:type="dxa"/>
          </w:tcPr>
          <w:p w14:paraId="13B0246D"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b/>
                <w:bCs/>
              </w:rPr>
              <w:t>Conduct</w:t>
            </w:r>
            <w:r w:rsidRPr="005B2096">
              <w:rPr>
                <w:rFonts w:ascii="Calibri Light" w:hAnsi="Calibri Light" w:cs="Calibri Light"/>
              </w:rPr>
              <w:t xml:space="preserve"> a comprehensive baseline situational analysis of current RTO registrations for VET courses relevant to health careers, identifying current and potential community-controlled RTOs with capacity for growth </w:t>
            </w:r>
          </w:p>
          <w:p w14:paraId="677225B0" w14:textId="77777777" w:rsidR="00AE7D90" w:rsidRPr="005B2096" w:rsidRDefault="00AE7D90" w:rsidP="00AB08AC">
            <w:pPr>
              <w:spacing w:after="120"/>
              <w:rPr>
                <w:rFonts w:ascii="Calibri Light" w:hAnsi="Calibri Light" w:cs="Calibri Light"/>
              </w:rPr>
            </w:pPr>
            <w:r w:rsidRPr="005B2096">
              <w:rPr>
                <w:rFonts w:ascii="Calibri Light" w:hAnsi="Calibri Light" w:cs="Calibri Light"/>
                <w:b/>
                <w:bCs/>
              </w:rPr>
              <w:lastRenderedPageBreak/>
              <w:t>Produce</w:t>
            </w:r>
            <w:r w:rsidRPr="005B2096">
              <w:rPr>
                <w:rFonts w:ascii="Calibri Light" w:hAnsi="Calibri Light" w:cs="Calibri Light"/>
              </w:rPr>
              <w:t xml:space="preserve"> an implementation plan in response to findings of the situational analysis and co-design recommendations</w:t>
            </w:r>
          </w:p>
          <w:p w14:paraId="211CC4B4" w14:textId="77777777" w:rsidR="00AE7D90" w:rsidRPr="005B2096" w:rsidRDefault="00AE7D90" w:rsidP="00AB08AC">
            <w:pPr>
              <w:spacing w:after="120"/>
              <w:rPr>
                <w:rFonts w:ascii="Calibri Light" w:hAnsi="Calibri Light" w:cs="Calibri Light"/>
              </w:rPr>
            </w:pPr>
          </w:p>
        </w:tc>
        <w:tc>
          <w:tcPr>
            <w:tcW w:w="1873" w:type="dxa"/>
            <w:shd w:val="clear" w:color="auto" w:fill="auto"/>
          </w:tcPr>
          <w:p w14:paraId="67B2F937" w14:textId="77777777" w:rsidR="00AE7D90" w:rsidRPr="00404E28" w:rsidRDefault="00AE7D90" w:rsidP="00AB08AC">
            <w:pPr>
              <w:spacing w:after="120"/>
              <w:contextualSpacing/>
              <w:rPr>
                <w:rFonts w:ascii="Calibri Light" w:hAnsi="Calibri Light" w:cs="Calibri Light"/>
              </w:rPr>
            </w:pPr>
            <w:r w:rsidRPr="00404E28">
              <w:rPr>
                <w:rFonts w:ascii="Calibri Light" w:hAnsi="Calibri Light" w:cs="Calibri Light"/>
              </w:rPr>
              <w:lastRenderedPageBreak/>
              <w:t>Australian Government</w:t>
            </w:r>
            <w:r w:rsidRPr="00404E28">
              <w:rPr>
                <w:rFonts w:ascii="Calibri Light" w:hAnsi="Calibri Light" w:cs="Calibri Light"/>
                <w:vertAlign w:val="superscript"/>
              </w:rPr>
              <w:t>1</w:t>
            </w:r>
          </w:p>
          <w:p w14:paraId="580FAC4A" w14:textId="77777777" w:rsidR="00AE7D90" w:rsidRPr="00404E28" w:rsidRDefault="00AE7D90" w:rsidP="00AB08AC">
            <w:pPr>
              <w:spacing w:after="120"/>
              <w:contextualSpacing/>
              <w:rPr>
                <w:rFonts w:ascii="Calibri Light" w:hAnsi="Calibri Light" w:cs="Calibri Light"/>
              </w:rPr>
            </w:pPr>
          </w:p>
          <w:p w14:paraId="6C516FA4" w14:textId="77777777" w:rsidR="00AE7D90" w:rsidRPr="005B2096" w:rsidRDefault="00AE7D90" w:rsidP="00AB08AC">
            <w:pPr>
              <w:spacing w:after="120"/>
              <w:contextualSpacing/>
              <w:rPr>
                <w:rFonts w:ascii="Calibri Light" w:hAnsi="Calibri Light" w:cs="Calibri Light"/>
              </w:rPr>
            </w:pPr>
            <w:r w:rsidRPr="00404E28">
              <w:rPr>
                <w:rFonts w:ascii="Calibri Light" w:hAnsi="Calibri Light" w:cs="Calibri Light"/>
              </w:rPr>
              <w:t>State and Territory Governments</w:t>
            </w:r>
            <w:r w:rsidRPr="00404E28">
              <w:rPr>
                <w:rFonts w:ascii="Calibri Light" w:hAnsi="Calibri Light" w:cs="Calibri Light"/>
                <w:vertAlign w:val="superscript"/>
              </w:rPr>
              <w:t>1</w:t>
            </w:r>
          </w:p>
          <w:p w14:paraId="0B34E1D7" w14:textId="77777777" w:rsidR="00AE7D90" w:rsidRPr="005B2096" w:rsidRDefault="00AE7D90" w:rsidP="00AB08AC">
            <w:pPr>
              <w:spacing w:after="120"/>
              <w:contextualSpacing/>
              <w:rPr>
                <w:rFonts w:ascii="Calibri Light" w:hAnsi="Calibri Light" w:cs="Calibri Light"/>
              </w:rPr>
            </w:pPr>
          </w:p>
          <w:p w14:paraId="06C8A0F1"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 xml:space="preserve">NACCHO </w:t>
            </w:r>
          </w:p>
          <w:p w14:paraId="59D2FAFE" w14:textId="77777777" w:rsidR="00AE7D90" w:rsidRPr="005B2096" w:rsidRDefault="00AE7D90" w:rsidP="00AB08AC">
            <w:pPr>
              <w:spacing w:after="120"/>
              <w:contextualSpacing/>
              <w:rPr>
                <w:rFonts w:ascii="Calibri Light" w:hAnsi="Calibri Light" w:cs="Calibri Light"/>
              </w:rPr>
            </w:pPr>
          </w:p>
          <w:p w14:paraId="0DF3BA05"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Workforce peak bodies</w:t>
            </w:r>
          </w:p>
          <w:p w14:paraId="5A33F9D4" w14:textId="77777777" w:rsidR="00AE7D90" w:rsidRPr="005B2096" w:rsidRDefault="00AE7D90" w:rsidP="00AB08AC">
            <w:pPr>
              <w:spacing w:after="120"/>
              <w:contextualSpacing/>
              <w:rPr>
                <w:rFonts w:ascii="Calibri Light" w:hAnsi="Calibri Light" w:cs="Calibri Light"/>
              </w:rPr>
            </w:pPr>
          </w:p>
        </w:tc>
        <w:tc>
          <w:tcPr>
            <w:tcW w:w="1792" w:type="dxa"/>
            <w:shd w:val="clear" w:color="auto" w:fill="auto"/>
          </w:tcPr>
          <w:p w14:paraId="170413B5"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lastRenderedPageBreak/>
              <w:t>To be determined</w:t>
            </w:r>
          </w:p>
        </w:tc>
        <w:tc>
          <w:tcPr>
            <w:tcW w:w="1793" w:type="dxa"/>
            <w:shd w:val="clear" w:color="auto" w:fill="auto"/>
          </w:tcPr>
          <w:p w14:paraId="1274CA7E" w14:textId="77777777" w:rsidR="00AE7D90" w:rsidRPr="005B2096" w:rsidRDefault="00AE7D90" w:rsidP="00AB08AC">
            <w:pPr>
              <w:spacing w:after="120"/>
              <w:contextualSpacing/>
              <w:rPr>
                <w:rFonts w:ascii="Calibri Light" w:hAnsi="Calibri Light" w:cs="Calibri Light"/>
              </w:rPr>
            </w:pPr>
            <w:r w:rsidRPr="00964CEC">
              <w:rPr>
                <w:rFonts w:ascii="Calibri Light" w:hAnsi="Calibri Light" w:cs="Calibri Light"/>
              </w:rPr>
              <w:t xml:space="preserve">To be determined </w:t>
            </w:r>
          </w:p>
        </w:tc>
      </w:tr>
      <w:tr w:rsidR="00AE7D90" w:rsidRPr="00726E57" w14:paraId="247FF20F" w14:textId="77777777" w:rsidTr="00AB08AC">
        <w:tc>
          <w:tcPr>
            <w:tcW w:w="581" w:type="dxa"/>
          </w:tcPr>
          <w:p w14:paraId="13AD167A"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A6</w:t>
            </w:r>
          </w:p>
        </w:tc>
        <w:tc>
          <w:tcPr>
            <w:tcW w:w="3688" w:type="dxa"/>
          </w:tcPr>
          <w:p w14:paraId="7243F2C0"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b/>
                <w:bCs/>
                <w:color w:val="000000" w:themeColor="text1"/>
                <w:lang w:val="en-US"/>
              </w:rPr>
              <w:t>Convene</w:t>
            </w:r>
            <w:r w:rsidRPr="005B2096">
              <w:rPr>
                <w:rFonts w:ascii="Calibri Light" w:hAnsi="Calibri Light" w:cs="Calibri Light"/>
                <w:color w:val="000000" w:themeColor="text1"/>
                <w:lang w:val="en-US"/>
              </w:rPr>
              <w:t xml:space="preserve"> a Clinical Workforce Taskforce to </w:t>
            </w:r>
            <w:proofErr w:type="spellStart"/>
            <w:r w:rsidRPr="005B2096">
              <w:rPr>
                <w:rFonts w:ascii="Calibri Light" w:hAnsi="Calibri Light" w:cs="Calibri Light"/>
                <w:color w:val="000000" w:themeColor="text1"/>
                <w:lang w:val="en-US"/>
              </w:rPr>
              <w:t>analyse</w:t>
            </w:r>
            <w:proofErr w:type="spellEnd"/>
            <w:r w:rsidRPr="005B2096">
              <w:rPr>
                <w:rFonts w:ascii="Calibri Light" w:hAnsi="Calibri Light" w:cs="Calibri Light"/>
                <w:color w:val="000000" w:themeColor="text1"/>
                <w:lang w:val="en-US"/>
              </w:rPr>
              <w:t xml:space="preserve"> and systematically address the full range of pertinent industrial, professional, socio-economic and employment impediments affecting the </w:t>
            </w:r>
            <w:r w:rsidRPr="005B2096">
              <w:rPr>
                <w:rFonts w:ascii="Calibri Light" w:hAnsi="Calibri Light" w:cs="Calibri Light"/>
                <w:color w:val="000000" w:themeColor="text1"/>
              </w:rPr>
              <w:t xml:space="preserve">Aboriginal and Torres Strait Islander community-controlled </w:t>
            </w:r>
            <w:r w:rsidRPr="005B2096">
              <w:rPr>
                <w:rFonts w:ascii="Calibri Light" w:hAnsi="Calibri Light" w:cs="Calibri Light"/>
                <w:color w:val="000000" w:themeColor="text1"/>
                <w:lang w:val="en-US"/>
              </w:rPr>
              <w:t>health sector.</w:t>
            </w:r>
          </w:p>
        </w:tc>
        <w:tc>
          <w:tcPr>
            <w:tcW w:w="4323" w:type="dxa"/>
          </w:tcPr>
          <w:p w14:paraId="33C4A4F0" w14:textId="77777777" w:rsidR="00AE7D90" w:rsidRPr="005B2096" w:rsidRDefault="00AE7D90" w:rsidP="00AB08AC">
            <w:pPr>
              <w:spacing w:after="120"/>
              <w:contextualSpacing/>
              <w:rPr>
                <w:rFonts w:ascii="Calibri Light" w:hAnsi="Calibri Light" w:cs="Calibri Light"/>
                <w:lang w:val="en-US"/>
              </w:rPr>
            </w:pPr>
            <w:r w:rsidRPr="005B2096">
              <w:rPr>
                <w:rFonts w:ascii="Calibri Light" w:hAnsi="Calibri Light" w:cs="Calibri Light"/>
                <w:b/>
                <w:bCs/>
                <w:lang w:val="en-US"/>
              </w:rPr>
              <w:t>Initiate</w:t>
            </w:r>
            <w:r w:rsidRPr="005B2096">
              <w:rPr>
                <w:rFonts w:ascii="Calibri Light" w:hAnsi="Calibri Light" w:cs="Calibri Light"/>
                <w:lang w:val="en-US"/>
              </w:rPr>
              <w:t xml:space="preserve"> a national scoping process with regional and place-based analyses to identify practical and effective strategies in collaboration with government and other non-government agencies to increase the availability and retention of Aboriginal Health Practitioners, General Practitioners, nurses and mental health professionals for the Aboriginal and Torres Strait Islander community-controlled health sector </w:t>
            </w:r>
            <w:r w:rsidRPr="00964CEC">
              <w:rPr>
                <w:rFonts w:ascii="Calibri Light" w:hAnsi="Calibri Light" w:cs="Calibri Light"/>
                <w:lang w:val="en-US"/>
              </w:rPr>
              <w:t>matched to place-based and community-identified needs especially in new and emerging health areas including mental health and aged</w:t>
            </w:r>
            <w:r w:rsidRPr="005B2096">
              <w:rPr>
                <w:rFonts w:ascii="Calibri Light" w:hAnsi="Calibri Light" w:cs="Calibri Light"/>
                <w:lang w:val="en-US"/>
              </w:rPr>
              <w:t xml:space="preserve"> care </w:t>
            </w:r>
          </w:p>
          <w:p w14:paraId="19F86853" w14:textId="77777777" w:rsidR="00AE7D90" w:rsidRPr="005B2096" w:rsidRDefault="00AE7D90" w:rsidP="00AB08AC">
            <w:pPr>
              <w:spacing w:after="120"/>
              <w:contextualSpacing/>
              <w:rPr>
                <w:rFonts w:ascii="Calibri Light" w:hAnsi="Calibri Light" w:cs="Calibri Light"/>
                <w:lang w:val="en-US"/>
              </w:rPr>
            </w:pPr>
          </w:p>
          <w:p w14:paraId="69C70986" w14:textId="77777777" w:rsidR="00AE7D90" w:rsidRPr="005B2096" w:rsidRDefault="00AE7D90" w:rsidP="00AB08AC">
            <w:pPr>
              <w:spacing w:after="120"/>
              <w:contextualSpacing/>
              <w:rPr>
                <w:rFonts w:ascii="Calibri Light" w:hAnsi="Calibri Light" w:cs="Calibri Light"/>
                <w:lang w:val="en-US"/>
              </w:rPr>
            </w:pPr>
            <w:r w:rsidRPr="005B2096">
              <w:rPr>
                <w:rFonts w:ascii="Calibri Light" w:hAnsi="Calibri Light" w:cs="Calibri Light"/>
                <w:b/>
                <w:bCs/>
                <w:lang w:val="en-US"/>
              </w:rPr>
              <w:t>Partner</w:t>
            </w:r>
            <w:r w:rsidRPr="005B2096">
              <w:rPr>
                <w:rFonts w:ascii="Calibri Light" w:hAnsi="Calibri Light" w:cs="Calibri Light"/>
                <w:lang w:val="en-US"/>
              </w:rPr>
              <w:t xml:space="preserve"> with a wide range of stakeholders to develop a national implementation plan to respond to the findings of the national scoping process </w:t>
            </w:r>
          </w:p>
          <w:p w14:paraId="13C53D90" w14:textId="77777777" w:rsidR="00AE7D90" w:rsidRPr="005B2096" w:rsidRDefault="00AE7D90" w:rsidP="00AB08AC">
            <w:pPr>
              <w:spacing w:after="120"/>
              <w:contextualSpacing/>
              <w:rPr>
                <w:rFonts w:ascii="Calibri Light" w:hAnsi="Calibri Light" w:cs="Calibri Light"/>
                <w:lang w:val="en-US"/>
              </w:rPr>
            </w:pPr>
          </w:p>
          <w:p w14:paraId="10D775A9" w14:textId="77777777" w:rsidR="00AE7D90" w:rsidRPr="005B2096" w:rsidRDefault="00AE7D90" w:rsidP="00AB08AC">
            <w:pPr>
              <w:spacing w:after="120"/>
              <w:contextualSpacing/>
              <w:rPr>
                <w:rFonts w:ascii="Calibri Light" w:eastAsia="Times New Roman" w:hAnsi="Calibri Light" w:cs="Calibri Light"/>
              </w:rPr>
            </w:pPr>
            <w:r w:rsidRPr="005B2096">
              <w:rPr>
                <w:rFonts w:ascii="Calibri Light" w:eastAsia="Times New Roman" w:hAnsi="Calibri Light" w:cs="Calibri Light"/>
                <w:b/>
                <w:bCs/>
              </w:rPr>
              <w:t>Explore</w:t>
            </w:r>
            <w:r w:rsidRPr="005B2096">
              <w:rPr>
                <w:rFonts w:ascii="Calibri Light" w:eastAsia="Times New Roman" w:hAnsi="Calibri Light" w:cs="Calibri Light"/>
              </w:rPr>
              <w:t xml:space="preserve"> the benefits, barriers and enablers to standardise the scope of core practices for Aboriginal and Torres Strait Islander Health Practitioners registered with the Australian Health Practitioner Regulation Agency</w:t>
            </w:r>
          </w:p>
          <w:p w14:paraId="34C99EA6" w14:textId="77777777" w:rsidR="00AE7D90" w:rsidRPr="005B2096" w:rsidRDefault="00AE7D90" w:rsidP="00AB08AC">
            <w:pPr>
              <w:spacing w:after="120"/>
              <w:contextualSpacing/>
              <w:rPr>
                <w:rFonts w:ascii="Calibri Light" w:hAnsi="Calibri Light" w:cs="Calibri Light"/>
              </w:rPr>
            </w:pPr>
          </w:p>
        </w:tc>
        <w:tc>
          <w:tcPr>
            <w:tcW w:w="1873" w:type="dxa"/>
            <w:shd w:val="clear" w:color="auto" w:fill="auto"/>
          </w:tcPr>
          <w:p w14:paraId="35D8205F"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 xml:space="preserve">Australian Government Department of Health </w:t>
            </w:r>
          </w:p>
          <w:p w14:paraId="3F5E9CBA" w14:textId="77777777" w:rsidR="00AE7D90" w:rsidRPr="005B2096" w:rsidRDefault="00AE7D90" w:rsidP="00AB08AC">
            <w:pPr>
              <w:spacing w:after="120"/>
              <w:contextualSpacing/>
              <w:rPr>
                <w:rFonts w:ascii="Calibri Light" w:hAnsi="Calibri Light" w:cs="Calibri Light"/>
              </w:rPr>
            </w:pPr>
          </w:p>
          <w:p w14:paraId="2BAF5899"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NACCHO</w:t>
            </w:r>
          </w:p>
          <w:p w14:paraId="00E6B4EF" w14:textId="77777777" w:rsidR="00AE7D90" w:rsidRPr="005B2096" w:rsidRDefault="00AE7D90" w:rsidP="00AB08AC">
            <w:pPr>
              <w:spacing w:after="120"/>
              <w:contextualSpacing/>
              <w:rPr>
                <w:rFonts w:ascii="Calibri Light" w:hAnsi="Calibri Light" w:cs="Calibri Light"/>
              </w:rPr>
            </w:pPr>
          </w:p>
          <w:p w14:paraId="2DB7F603"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Sector Support Organisations</w:t>
            </w:r>
          </w:p>
          <w:p w14:paraId="0565ABFC" w14:textId="77777777" w:rsidR="00AE7D90" w:rsidRPr="005B2096" w:rsidRDefault="00AE7D90" w:rsidP="00AB08AC">
            <w:pPr>
              <w:spacing w:after="120"/>
              <w:contextualSpacing/>
              <w:rPr>
                <w:rFonts w:ascii="Calibri Light" w:hAnsi="Calibri Light" w:cs="Calibri Light"/>
              </w:rPr>
            </w:pPr>
          </w:p>
          <w:p w14:paraId="288387D3"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Workforce peak bodies</w:t>
            </w:r>
          </w:p>
          <w:p w14:paraId="58FE7E5C" w14:textId="77777777" w:rsidR="00AE7D90" w:rsidRPr="005B2096" w:rsidRDefault="00AE7D90" w:rsidP="00AB08AC">
            <w:pPr>
              <w:spacing w:after="120"/>
              <w:contextualSpacing/>
              <w:rPr>
                <w:rFonts w:ascii="Calibri Light" w:hAnsi="Calibri Light" w:cs="Calibri Light"/>
              </w:rPr>
            </w:pPr>
          </w:p>
          <w:p w14:paraId="3642634E" w14:textId="77777777" w:rsidR="00AE7D90" w:rsidRPr="005B2096" w:rsidRDefault="00AE7D90" w:rsidP="00AB08AC">
            <w:pPr>
              <w:spacing w:after="120"/>
              <w:contextualSpacing/>
              <w:rPr>
                <w:rFonts w:ascii="Calibri Light" w:hAnsi="Calibri Light" w:cs="Calibri Light"/>
              </w:rPr>
            </w:pPr>
          </w:p>
          <w:p w14:paraId="2BE87B42" w14:textId="77777777" w:rsidR="00AE7D90" w:rsidRPr="005B2096" w:rsidRDefault="00AE7D90" w:rsidP="00AB08AC">
            <w:pPr>
              <w:spacing w:after="120"/>
              <w:contextualSpacing/>
              <w:rPr>
                <w:rFonts w:ascii="Calibri Light" w:hAnsi="Calibri Light" w:cs="Calibri Light"/>
              </w:rPr>
            </w:pPr>
          </w:p>
          <w:p w14:paraId="10CD573D" w14:textId="77777777" w:rsidR="00AE7D90" w:rsidRPr="005B2096" w:rsidRDefault="00AE7D90" w:rsidP="00AB08AC">
            <w:pPr>
              <w:spacing w:after="120"/>
              <w:contextualSpacing/>
              <w:rPr>
                <w:rFonts w:ascii="Calibri Light" w:hAnsi="Calibri Light" w:cs="Calibri Light"/>
              </w:rPr>
            </w:pPr>
          </w:p>
          <w:p w14:paraId="309884D8" w14:textId="77777777" w:rsidR="00AE7D90" w:rsidRPr="005B2096" w:rsidRDefault="00AE7D90" w:rsidP="00AB08AC">
            <w:pPr>
              <w:spacing w:after="120"/>
              <w:contextualSpacing/>
              <w:rPr>
                <w:rFonts w:ascii="Calibri Light" w:hAnsi="Calibri Light" w:cs="Calibri Light"/>
              </w:rPr>
            </w:pPr>
          </w:p>
        </w:tc>
        <w:tc>
          <w:tcPr>
            <w:tcW w:w="1792" w:type="dxa"/>
            <w:shd w:val="clear" w:color="auto" w:fill="auto"/>
          </w:tcPr>
          <w:p w14:paraId="662D2975"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lang w:val="en-US"/>
              </w:rPr>
              <w:t>To be determined</w:t>
            </w:r>
          </w:p>
        </w:tc>
        <w:tc>
          <w:tcPr>
            <w:tcW w:w="1793" w:type="dxa"/>
            <w:shd w:val="clear" w:color="auto" w:fill="auto"/>
          </w:tcPr>
          <w:p w14:paraId="6D9C6948" w14:textId="77777777" w:rsidR="00AE7D90" w:rsidRPr="005B2096" w:rsidRDefault="00AE7D90" w:rsidP="00AB08AC">
            <w:pPr>
              <w:spacing w:after="120"/>
              <w:contextualSpacing/>
              <w:rPr>
                <w:rFonts w:ascii="Calibri Light" w:hAnsi="Calibri Light" w:cs="Calibri Light"/>
              </w:rPr>
            </w:pPr>
            <w:r w:rsidRPr="00964CEC">
              <w:rPr>
                <w:rFonts w:ascii="Calibri Light" w:hAnsi="Calibri Light" w:cs="Calibri Light"/>
              </w:rPr>
              <w:t>To be determined</w:t>
            </w:r>
          </w:p>
        </w:tc>
      </w:tr>
      <w:tr w:rsidR="00AE7D90" w:rsidRPr="00726E57" w14:paraId="02FE9599" w14:textId="77777777" w:rsidTr="00AB08AC">
        <w:tc>
          <w:tcPr>
            <w:tcW w:w="581" w:type="dxa"/>
          </w:tcPr>
          <w:p w14:paraId="5B75E983"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lastRenderedPageBreak/>
              <w:t>A7</w:t>
            </w:r>
          </w:p>
        </w:tc>
        <w:tc>
          <w:tcPr>
            <w:tcW w:w="3688" w:type="dxa"/>
          </w:tcPr>
          <w:p w14:paraId="558C2C0B"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b/>
                <w:bCs/>
                <w:color w:val="000000" w:themeColor="text1"/>
                <w:lang w:val="en-US"/>
              </w:rPr>
              <w:t>Resource</w:t>
            </w:r>
            <w:r w:rsidRPr="005B2096">
              <w:rPr>
                <w:rFonts w:ascii="Calibri Light" w:hAnsi="Calibri Light" w:cs="Calibri Light"/>
                <w:color w:val="000000" w:themeColor="text1"/>
                <w:lang w:val="en-US"/>
              </w:rPr>
              <w:t xml:space="preserve"> permanent health career pathways co-designed in jurisdictions through partnerships between the </w:t>
            </w:r>
            <w:r w:rsidRPr="005B2096">
              <w:rPr>
                <w:rFonts w:ascii="Calibri Light" w:hAnsi="Calibri Light" w:cs="Calibri Light"/>
                <w:color w:val="000000" w:themeColor="text1"/>
              </w:rPr>
              <w:t>Aboriginal and Torres Strait Islander community-controlled health</w:t>
            </w:r>
            <w:r w:rsidRPr="005B2096">
              <w:rPr>
                <w:rFonts w:ascii="Calibri Light" w:hAnsi="Calibri Light" w:cs="Calibri Light"/>
                <w:color w:val="000000" w:themeColor="text1"/>
                <w:lang w:val="en-US"/>
              </w:rPr>
              <w:t xml:space="preserve"> sector, its Sector Support </w:t>
            </w:r>
            <w:proofErr w:type="spellStart"/>
            <w:r w:rsidRPr="005B2096">
              <w:rPr>
                <w:rFonts w:ascii="Calibri Light" w:hAnsi="Calibri Light" w:cs="Calibri Light"/>
                <w:color w:val="000000" w:themeColor="text1"/>
                <w:lang w:val="en-US"/>
              </w:rPr>
              <w:t>Organisation</w:t>
            </w:r>
            <w:proofErr w:type="spellEnd"/>
            <w:r w:rsidRPr="005B2096">
              <w:rPr>
                <w:rFonts w:ascii="Calibri Light" w:hAnsi="Calibri Light" w:cs="Calibri Light"/>
                <w:color w:val="000000" w:themeColor="text1"/>
                <w:lang w:val="en-US"/>
              </w:rPr>
              <w:t>, relevant national Aboriginal and Torres Strait Islander health workforce peak bodies, governments, the Australian Health Practitioner Regulation Agency, and vocational training/tertiary institutions.</w:t>
            </w:r>
          </w:p>
        </w:tc>
        <w:tc>
          <w:tcPr>
            <w:tcW w:w="4323" w:type="dxa"/>
          </w:tcPr>
          <w:p w14:paraId="7D827995"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b/>
                <w:bCs/>
              </w:rPr>
              <w:t>Develop</w:t>
            </w:r>
            <w:r w:rsidRPr="005B2096">
              <w:rPr>
                <w:rFonts w:ascii="Calibri Light" w:hAnsi="Calibri Light" w:cs="Calibri Light"/>
              </w:rPr>
              <w:t xml:space="preserve"> a program for place-based health career pathways securing commitments from all relevant institutional partners including the local ACCHS with the specific objectives of introducing and institutionalising systems-level changes that will lead to satisfying career pathways for Aboriginal and Torres Strait Islander people </w:t>
            </w:r>
          </w:p>
        </w:tc>
        <w:tc>
          <w:tcPr>
            <w:tcW w:w="1873" w:type="dxa"/>
            <w:shd w:val="clear" w:color="auto" w:fill="auto"/>
          </w:tcPr>
          <w:p w14:paraId="117F564C" w14:textId="77777777" w:rsidR="00AE7D90" w:rsidRPr="00404E28" w:rsidRDefault="00AE7D90" w:rsidP="00AB08AC">
            <w:pPr>
              <w:spacing w:after="120"/>
              <w:contextualSpacing/>
              <w:rPr>
                <w:rFonts w:ascii="Calibri Light" w:hAnsi="Calibri Light" w:cs="Calibri Light"/>
              </w:rPr>
            </w:pPr>
            <w:r w:rsidRPr="00404E28">
              <w:rPr>
                <w:rFonts w:ascii="Calibri Light" w:hAnsi="Calibri Light" w:cs="Calibri Light"/>
              </w:rPr>
              <w:t>Australian Government</w:t>
            </w:r>
            <w:r w:rsidRPr="00404E28">
              <w:rPr>
                <w:rFonts w:ascii="Calibri Light" w:hAnsi="Calibri Light" w:cs="Calibri Light"/>
                <w:vertAlign w:val="superscript"/>
              </w:rPr>
              <w:t>1</w:t>
            </w:r>
          </w:p>
          <w:p w14:paraId="5D1E5D2D" w14:textId="77777777" w:rsidR="00AE7D90" w:rsidRPr="00404E28" w:rsidRDefault="00AE7D90" w:rsidP="00AB08AC">
            <w:pPr>
              <w:spacing w:after="120"/>
              <w:contextualSpacing/>
              <w:rPr>
                <w:rFonts w:ascii="Calibri Light" w:hAnsi="Calibri Light" w:cs="Calibri Light"/>
              </w:rPr>
            </w:pPr>
          </w:p>
          <w:p w14:paraId="70E970B2" w14:textId="77777777" w:rsidR="00AE7D90" w:rsidRPr="005B2096" w:rsidRDefault="00AE7D90" w:rsidP="00AB08AC">
            <w:pPr>
              <w:spacing w:after="120"/>
              <w:contextualSpacing/>
              <w:rPr>
                <w:rFonts w:ascii="Calibri Light" w:hAnsi="Calibri Light" w:cs="Calibri Light"/>
              </w:rPr>
            </w:pPr>
            <w:r w:rsidRPr="00404E28">
              <w:rPr>
                <w:rFonts w:ascii="Calibri Light" w:hAnsi="Calibri Light" w:cs="Calibri Light"/>
              </w:rPr>
              <w:t>State and Territory Governments</w:t>
            </w:r>
            <w:r w:rsidRPr="00404E28">
              <w:rPr>
                <w:rFonts w:ascii="Calibri Light" w:hAnsi="Calibri Light" w:cs="Calibri Light"/>
                <w:vertAlign w:val="superscript"/>
              </w:rPr>
              <w:t>1</w:t>
            </w:r>
          </w:p>
          <w:p w14:paraId="46954557" w14:textId="77777777" w:rsidR="00AE7D90" w:rsidRPr="005B2096" w:rsidRDefault="00AE7D90" w:rsidP="00AB08AC">
            <w:pPr>
              <w:spacing w:after="120"/>
              <w:contextualSpacing/>
              <w:rPr>
                <w:rFonts w:ascii="Calibri Light" w:hAnsi="Calibri Light" w:cs="Calibri Light"/>
              </w:rPr>
            </w:pPr>
          </w:p>
          <w:p w14:paraId="6791EB00"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NACCHO</w:t>
            </w:r>
          </w:p>
          <w:p w14:paraId="63F15B61" w14:textId="77777777" w:rsidR="00AE7D90" w:rsidRPr="005B2096" w:rsidRDefault="00AE7D90" w:rsidP="00AB08AC">
            <w:pPr>
              <w:spacing w:after="120"/>
              <w:contextualSpacing/>
              <w:rPr>
                <w:rFonts w:ascii="Calibri Light" w:hAnsi="Calibri Light" w:cs="Calibri Light"/>
              </w:rPr>
            </w:pPr>
          </w:p>
          <w:p w14:paraId="3D4B8629"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Sector Support Organisations</w:t>
            </w:r>
          </w:p>
          <w:p w14:paraId="15669848" w14:textId="77777777" w:rsidR="00AE7D90" w:rsidRPr="005B2096" w:rsidRDefault="00AE7D90" w:rsidP="00AB08AC">
            <w:pPr>
              <w:spacing w:after="120"/>
              <w:contextualSpacing/>
              <w:rPr>
                <w:rFonts w:ascii="Calibri Light" w:hAnsi="Calibri Light" w:cs="Calibri Light"/>
              </w:rPr>
            </w:pPr>
          </w:p>
          <w:p w14:paraId="1BECBD47"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Member services and partners as negotiated</w:t>
            </w:r>
          </w:p>
          <w:p w14:paraId="64260C55" w14:textId="77777777" w:rsidR="00AE7D90" w:rsidRPr="005B2096" w:rsidRDefault="00AE7D90" w:rsidP="00AB08AC">
            <w:pPr>
              <w:spacing w:after="120"/>
              <w:contextualSpacing/>
              <w:rPr>
                <w:rFonts w:ascii="Calibri Light" w:hAnsi="Calibri Light" w:cs="Calibri Light"/>
              </w:rPr>
            </w:pPr>
          </w:p>
        </w:tc>
        <w:tc>
          <w:tcPr>
            <w:tcW w:w="1792" w:type="dxa"/>
            <w:shd w:val="clear" w:color="auto" w:fill="auto"/>
          </w:tcPr>
          <w:p w14:paraId="22B3F3EB"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To be determined</w:t>
            </w:r>
          </w:p>
        </w:tc>
        <w:tc>
          <w:tcPr>
            <w:tcW w:w="1793" w:type="dxa"/>
            <w:shd w:val="clear" w:color="auto" w:fill="auto"/>
          </w:tcPr>
          <w:p w14:paraId="6CA14C72" w14:textId="77777777" w:rsidR="00AE7D90" w:rsidRPr="005B2096" w:rsidRDefault="00AE7D90" w:rsidP="00AB08AC">
            <w:pPr>
              <w:spacing w:after="120"/>
              <w:contextualSpacing/>
              <w:rPr>
                <w:rFonts w:ascii="Calibri Light" w:hAnsi="Calibri Light" w:cs="Calibri Light"/>
              </w:rPr>
            </w:pPr>
            <w:r w:rsidRPr="00964CEC">
              <w:rPr>
                <w:rFonts w:ascii="Calibri Light" w:hAnsi="Calibri Light" w:cs="Calibri Light"/>
              </w:rPr>
              <w:t xml:space="preserve">To be determined </w:t>
            </w:r>
          </w:p>
        </w:tc>
      </w:tr>
    </w:tbl>
    <w:p w14:paraId="7BBDBC82" w14:textId="77777777" w:rsidR="00AE7D90" w:rsidRDefault="00AE7D90" w:rsidP="00AE7D90">
      <w:pPr>
        <w:spacing w:after="120" w:line="240" w:lineRule="auto"/>
        <w:rPr>
          <w:rFonts w:ascii="Calibri Light" w:hAnsi="Calibri Light" w:cs="Calibri Light"/>
          <w:sz w:val="16"/>
          <w:szCs w:val="16"/>
        </w:rPr>
      </w:pPr>
    </w:p>
    <w:p w14:paraId="61394CAF" w14:textId="38F5D4B2" w:rsidR="006B16D2" w:rsidRDefault="00AE7D90" w:rsidP="00AE7D90">
      <w:pPr>
        <w:spacing w:before="0"/>
        <w:rPr>
          <w:rFonts w:asciiTheme="majorHAnsi" w:eastAsia="Times New Roman" w:hAnsiTheme="majorHAnsi" w:cstheme="majorBidi"/>
          <w:b/>
          <w:color w:val="1F3864" w:themeColor="accent1" w:themeShade="80"/>
          <w:lang w:val="en-AU"/>
        </w:rPr>
      </w:pPr>
      <w:r w:rsidRPr="005B2096">
        <w:rPr>
          <w:rFonts w:ascii="Calibri Light" w:hAnsi="Calibri Light" w:cs="Calibri Light"/>
          <w:sz w:val="16"/>
          <w:szCs w:val="16"/>
        </w:rPr>
        <w:t>1. Commonwealth, state and territory governments implementing their commitments under the National Agreement including their respective jurisdictional Implementation Plans</w:t>
      </w:r>
    </w:p>
    <w:p w14:paraId="1C861A65" w14:textId="122B3C9E" w:rsidR="00C44A6E" w:rsidRDefault="00C44A6E" w:rsidP="006B16D2">
      <w:pPr>
        <w:spacing w:before="0"/>
        <w:rPr>
          <w:rFonts w:asciiTheme="majorHAnsi" w:eastAsia="Times New Roman" w:hAnsiTheme="majorHAnsi" w:cstheme="majorBidi"/>
          <w:b/>
          <w:color w:val="1F3864" w:themeColor="accent1" w:themeShade="80"/>
          <w:lang w:val="en-AU"/>
        </w:rPr>
      </w:pPr>
      <w:r>
        <w:rPr>
          <w:rFonts w:asciiTheme="majorHAnsi" w:eastAsia="Times New Roman" w:hAnsiTheme="majorHAnsi" w:cstheme="majorBidi"/>
          <w:b/>
          <w:color w:val="1F3864" w:themeColor="accent1" w:themeShade="80"/>
          <w:lang w:val="en-AU"/>
        </w:rPr>
        <w:br w:type="page"/>
      </w:r>
    </w:p>
    <w:p w14:paraId="3228DEFC" w14:textId="22B6591A" w:rsidR="00CE1B37" w:rsidRDefault="006B16D2" w:rsidP="00036CD7">
      <w:pPr>
        <w:pStyle w:val="h3"/>
      </w:pPr>
      <w:bookmarkStart w:id="45" w:name="_Toc86928765"/>
      <w:bookmarkStart w:id="46" w:name="_Toc86929272"/>
      <w:bookmarkStart w:id="47" w:name="_Toc88818203"/>
      <w:bookmarkEnd w:id="42"/>
      <w:r w:rsidRPr="006B16D2">
        <w:lastRenderedPageBreak/>
        <w:t>Capital Infrastructure</w:t>
      </w:r>
      <w:bookmarkEnd w:id="45"/>
      <w:bookmarkEnd w:id="46"/>
      <w:bookmarkEnd w:id="47"/>
      <w:r w:rsidRPr="006B16D2">
        <w:t xml:space="preserve"> </w:t>
      </w:r>
    </w:p>
    <w:p w14:paraId="53725120" w14:textId="69736099" w:rsidR="00AE7D90" w:rsidRPr="005B2096" w:rsidRDefault="00AE7D90" w:rsidP="00AE7D90">
      <w:pPr>
        <w:spacing w:after="120" w:line="240" w:lineRule="auto"/>
        <w:ind w:right="352"/>
        <w:rPr>
          <w:rFonts w:ascii="Calibri Light" w:hAnsi="Calibri Light" w:cs="Calibri Light"/>
          <w:b/>
          <w:bCs/>
          <w:color w:val="000090"/>
          <w:lang w:val="en-US"/>
        </w:rPr>
      </w:pPr>
      <w:r w:rsidRPr="005B2096">
        <w:rPr>
          <w:rFonts w:ascii="Calibri Light" w:hAnsi="Calibri Light" w:cs="Calibri Light"/>
          <w:b/>
          <w:bCs/>
          <w:color w:val="000090"/>
        </w:rPr>
        <w:t>OUTCOME:</w:t>
      </w:r>
      <w:r w:rsidRPr="005B2096">
        <w:rPr>
          <w:rFonts w:ascii="Calibri Light" w:hAnsi="Calibri Light" w:cs="Calibri Light"/>
          <w:b/>
          <w:bCs/>
          <w:color w:val="000090"/>
          <w:lang w:val="en-US"/>
        </w:rPr>
        <w:t xml:space="preserve"> Provision of health care by Aboriginal and Torres Strait Islander community-controlled services occurs in modern, accredited physical facilities equipped to offer telehealth and other digitally enabled services irrespective of location or socioeconomic status of the community.</w:t>
      </w:r>
    </w:p>
    <w:tbl>
      <w:tblPr>
        <w:tblStyle w:val="TableGrid"/>
        <w:tblW w:w="0" w:type="auto"/>
        <w:tblLook w:val="04A0" w:firstRow="1" w:lastRow="0" w:firstColumn="1" w:lastColumn="0" w:noHBand="0" w:noVBand="1"/>
        <w:tblCaption w:val="Action Table - Captial Infrastructure"/>
        <w:tblDescription w:val="Provision of health care by Aboriginal and Torres Strait Islander community-controlled services occurs in modern, accredited physical facilities equipped to offer telehealth and other digitally enabled services irrespective of location or socioeconomic status of the community."/>
      </w:tblPr>
      <w:tblGrid>
        <w:gridCol w:w="580"/>
        <w:gridCol w:w="3793"/>
        <w:gridCol w:w="4138"/>
        <w:gridCol w:w="1868"/>
        <w:gridCol w:w="1790"/>
        <w:gridCol w:w="1781"/>
      </w:tblGrid>
      <w:tr w:rsidR="00AE7D90" w:rsidRPr="005B2096" w14:paraId="1FB809F8" w14:textId="77777777" w:rsidTr="00AB08AC">
        <w:trPr>
          <w:tblHeader/>
        </w:trPr>
        <w:tc>
          <w:tcPr>
            <w:tcW w:w="581" w:type="dxa"/>
            <w:shd w:val="clear" w:color="auto" w:fill="D9E2F3" w:themeFill="accent1" w:themeFillTint="33"/>
          </w:tcPr>
          <w:p w14:paraId="639F2BA3" w14:textId="77777777" w:rsidR="00AE7D90" w:rsidRPr="005B2096" w:rsidRDefault="00AE7D90" w:rsidP="00AB08AC">
            <w:pPr>
              <w:spacing w:after="120"/>
              <w:rPr>
                <w:rFonts w:ascii="Calibri Light" w:hAnsi="Calibri Light" w:cs="Calibri Light"/>
                <w:b/>
                <w:bCs/>
              </w:rPr>
            </w:pPr>
            <w:bookmarkStart w:id="48" w:name="_Hlk82067175"/>
            <w:r w:rsidRPr="005B2096">
              <w:rPr>
                <w:rFonts w:ascii="Calibri Light" w:hAnsi="Calibri Light" w:cs="Calibri Light"/>
                <w:b/>
                <w:bCs/>
              </w:rPr>
              <w:t>No.</w:t>
            </w:r>
          </w:p>
        </w:tc>
        <w:tc>
          <w:tcPr>
            <w:tcW w:w="3830" w:type="dxa"/>
            <w:shd w:val="clear" w:color="auto" w:fill="D9E2F3" w:themeFill="accent1" w:themeFillTint="33"/>
          </w:tcPr>
          <w:p w14:paraId="6C5A0572" w14:textId="77777777" w:rsidR="00AE7D90" w:rsidRPr="005B2096" w:rsidRDefault="00AE7D90" w:rsidP="00AB08AC">
            <w:pPr>
              <w:spacing w:after="120"/>
              <w:rPr>
                <w:rFonts w:ascii="Calibri Light" w:hAnsi="Calibri Light" w:cs="Calibri Light"/>
                <w:b/>
                <w:bCs/>
              </w:rPr>
            </w:pPr>
            <w:r w:rsidRPr="005B2096">
              <w:rPr>
                <w:rFonts w:ascii="Calibri Light" w:hAnsi="Calibri Light" w:cs="Calibri Light"/>
                <w:b/>
                <w:bCs/>
              </w:rPr>
              <w:t>ACTION</w:t>
            </w:r>
          </w:p>
        </w:tc>
        <w:tc>
          <w:tcPr>
            <w:tcW w:w="4181" w:type="dxa"/>
            <w:shd w:val="clear" w:color="auto" w:fill="D9E2F3" w:themeFill="accent1" w:themeFillTint="33"/>
          </w:tcPr>
          <w:p w14:paraId="548FE292" w14:textId="77777777" w:rsidR="00AE7D90" w:rsidRPr="005B2096" w:rsidRDefault="00AE7D90" w:rsidP="00AB08AC">
            <w:pPr>
              <w:spacing w:after="120"/>
              <w:rPr>
                <w:rFonts w:ascii="Calibri Light" w:hAnsi="Calibri Light" w:cs="Calibri Light"/>
                <w:b/>
                <w:bCs/>
              </w:rPr>
            </w:pPr>
            <w:r w:rsidRPr="005B2096">
              <w:rPr>
                <w:rFonts w:ascii="Calibri Light" w:hAnsi="Calibri Light" w:cs="Calibri Light"/>
                <w:b/>
                <w:bCs/>
              </w:rPr>
              <w:t>Description</w:t>
            </w:r>
          </w:p>
        </w:tc>
        <w:tc>
          <w:tcPr>
            <w:tcW w:w="1873" w:type="dxa"/>
            <w:tcBorders>
              <w:bottom w:val="single" w:sz="4" w:space="0" w:color="auto"/>
            </w:tcBorders>
            <w:shd w:val="clear" w:color="auto" w:fill="D9E2F3" w:themeFill="accent1" w:themeFillTint="33"/>
          </w:tcPr>
          <w:p w14:paraId="2EF3D421" w14:textId="77777777" w:rsidR="00AE7D90" w:rsidRPr="005B2096" w:rsidRDefault="00AE7D90" w:rsidP="00AB08AC">
            <w:pPr>
              <w:spacing w:after="120"/>
              <w:rPr>
                <w:rFonts w:ascii="Calibri Light" w:hAnsi="Calibri Light" w:cs="Calibri Light"/>
                <w:b/>
                <w:bCs/>
              </w:rPr>
            </w:pPr>
            <w:r w:rsidRPr="005B2096">
              <w:rPr>
                <w:rFonts w:ascii="Calibri Light" w:hAnsi="Calibri Light" w:cs="Calibri Light"/>
                <w:b/>
                <w:bCs/>
              </w:rPr>
              <w:t>Responsibilities</w:t>
            </w:r>
          </w:p>
        </w:tc>
        <w:tc>
          <w:tcPr>
            <w:tcW w:w="1792" w:type="dxa"/>
            <w:tcBorders>
              <w:bottom w:val="single" w:sz="4" w:space="0" w:color="auto"/>
            </w:tcBorders>
            <w:shd w:val="clear" w:color="auto" w:fill="D9E2F3" w:themeFill="accent1" w:themeFillTint="33"/>
          </w:tcPr>
          <w:p w14:paraId="5B1DCEB4" w14:textId="77777777" w:rsidR="00AE7D90" w:rsidRPr="005B2096" w:rsidRDefault="00AE7D90" w:rsidP="00AB08AC">
            <w:pPr>
              <w:spacing w:after="120"/>
              <w:rPr>
                <w:rFonts w:ascii="Calibri Light" w:hAnsi="Calibri Light" w:cs="Calibri Light"/>
                <w:b/>
                <w:bCs/>
              </w:rPr>
            </w:pPr>
            <w:r w:rsidRPr="005B2096">
              <w:rPr>
                <w:rFonts w:ascii="Calibri Light" w:hAnsi="Calibri Light" w:cs="Calibri Light"/>
                <w:b/>
                <w:bCs/>
              </w:rPr>
              <w:t>Resources</w:t>
            </w:r>
          </w:p>
        </w:tc>
        <w:tc>
          <w:tcPr>
            <w:tcW w:w="1793" w:type="dxa"/>
            <w:tcBorders>
              <w:bottom w:val="single" w:sz="4" w:space="0" w:color="auto"/>
            </w:tcBorders>
            <w:shd w:val="clear" w:color="auto" w:fill="D9E2F3" w:themeFill="accent1" w:themeFillTint="33"/>
          </w:tcPr>
          <w:p w14:paraId="218FABA1" w14:textId="77777777" w:rsidR="00AE7D90" w:rsidRPr="005B2096" w:rsidRDefault="00AE7D90" w:rsidP="00AB08AC">
            <w:pPr>
              <w:spacing w:after="120"/>
              <w:rPr>
                <w:rFonts w:ascii="Calibri Light" w:hAnsi="Calibri Light" w:cs="Calibri Light"/>
                <w:b/>
                <w:bCs/>
              </w:rPr>
            </w:pPr>
            <w:r w:rsidRPr="005B2096">
              <w:rPr>
                <w:rFonts w:ascii="Calibri Light" w:hAnsi="Calibri Light" w:cs="Calibri Light"/>
                <w:b/>
                <w:bCs/>
              </w:rPr>
              <w:t>Timelines</w:t>
            </w:r>
          </w:p>
        </w:tc>
      </w:tr>
      <w:tr w:rsidR="00AE7D90" w:rsidRPr="005B2096" w14:paraId="1B376094" w14:textId="77777777" w:rsidTr="00AB08AC">
        <w:tc>
          <w:tcPr>
            <w:tcW w:w="581" w:type="dxa"/>
          </w:tcPr>
          <w:p w14:paraId="726337B2"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A8</w:t>
            </w:r>
          </w:p>
        </w:tc>
        <w:tc>
          <w:tcPr>
            <w:tcW w:w="3830" w:type="dxa"/>
          </w:tcPr>
          <w:p w14:paraId="635CA83D"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b/>
                <w:bCs/>
                <w:color w:val="000000" w:themeColor="text1"/>
              </w:rPr>
              <w:t>Fund</w:t>
            </w:r>
            <w:r w:rsidRPr="005B2096">
              <w:rPr>
                <w:rFonts w:ascii="Calibri Light" w:hAnsi="Calibri Light" w:cs="Calibri Light"/>
                <w:color w:val="000000" w:themeColor="text1"/>
              </w:rPr>
              <w:t xml:space="preserve"> major and medium-size capital and physical infrastructure including permanent clinic builds and large-scale renovations, mobile clinics, maintenance, repairs and extensions to ensure facilities meet building codes and accreditation standards </w:t>
            </w:r>
          </w:p>
        </w:tc>
        <w:tc>
          <w:tcPr>
            <w:tcW w:w="4181" w:type="dxa"/>
          </w:tcPr>
          <w:p w14:paraId="74AF20AC"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b/>
                <w:bCs/>
              </w:rPr>
              <w:t>Assess</w:t>
            </w:r>
            <w:r w:rsidRPr="005B2096">
              <w:rPr>
                <w:rFonts w:ascii="Calibri Light" w:hAnsi="Calibri Light" w:cs="Calibri Light"/>
              </w:rPr>
              <w:t xml:space="preserve"> the Aboriginal and Torres Strait Islander community-controlled health sector’s infrastructure needs for clinics and service delivery</w:t>
            </w:r>
          </w:p>
          <w:p w14:paraId="7D8551A1" w14:textId="77777777" w:rsidR="00AE7D90" w:rsidRPr="005B2096" w:rsidRDefault="00AE7D90" w:rsidP="00AB08AC">
            <w:pPr>
              <w:spacing w:after="120"/>
              <w:rPr>
                <w:rFonts w:ascii="Calibri Light" w:hAnsi="Calibri Light" w:cs="Calibri Light"/>
              </w:rPr>
            </w:pPr>
            <w:r w:rsidRPr="005B2096">
              <w:rPr>
                <w:rFonts w:ascii="Calibri Light" w:hAnsi="Calibri Light" w:cs="Calibri Light"/>
                <w:b/>
                <w:bCs/>
              </w:rPr>
              <w:t>Deliver</w:t>
            </w:r>
            <w:r w:rsidRPr="005B2096">
              <w:rPr>
                <w:rFonts w:ascii="Calibri Light" w:hAnsi="Calibri Light" w:cs="Calibri Light"/>
              </w:rPr>
              <w:t xml:space="preserve"> new and renovated Aboriginal and Torres Strait Islander community-controlled health clinics designed in line with building standards incorporating geographic location and function, and accounting for diverse needs, including</w:t>
            </w:r>
            <w:r>
              <w:rPr>
                <w:rFonts w:ascii="Calibri Light" w:hAnsi="Calibri Light" w:cs="Calibri Light"/>
              </w:rPr>
              <w:t xml:space="preserve"> those of people with disability</w:t>
            </w:r>
          </w:p>
        </w:tc>
        <w:tc>
          <w:tcPr>
            <w:tcW w:w="1873" w:type="dxa"/>
            <w:shd w:val="clear" w:color="auto" w:fill="auto"/>
          </w:tcPr>
          <w:p w14:paraId="7E998419" w14:textId="77777777" w:rsidR="00AE7D90" w:rsidRPr="00404E28" w:rsidRDefault="00AE7D90" w:rsidP="00AB08AC">
            <w:pPr>
              <w:spacing w:after="120"/>
              <w:contextualSpacing/>
              <w:rPr>
                <w:rFonts w:ascii="Calibri Light" w:hAnsi="Calibri Light" w:cs="Calibri Light"/>
              </w:rPr>
            </w:pPr>
            <w:r w:rsidRPr="00404E28">
              <w:rPr>
                <w:rFonts w:ascii="Calibri Light" w:hAnsi="Calibri Light" w:cs="Calibri Light"/>
              </w:rPr>
              <w:t>Australian Government</w:t>
            </w:r>
            <w:r w:rsidRPr="00404E28">
              <w:rPr>
                <w:rFonts w:ascii="Calibri Light" w:hAnsi="Calibri Light" w:cs="Calibri Light"/>
                <w:vertAlign w:val="superscript"/>
              </w:rPr>
              <w:t>1</w:t>
            </w:r>
          </w:p>
          <w:p w14:paraId="626DA199" w14:textId="77777777" w:rsidR="00AE7D90" w:rsidRPr="00404E28" w:rsidRDefault="00AE7D90" w:rsidP="00AB08AC">
            <w:pPr>
              <w:spacing w:after="120"/>
              <w:contextualSpacing/>
              <w:rPr>
                <w:rFonts w:ascii="Calibri Light" w:hAnsi="Calibri Light" w:cs="Calibri Light"/>
              </w:rPr>
            </w:pPr>
          </w:p>
          <w:p w14:paraId="22DD67CA" w14:textId="77777777" w:rsidR="00AE7D90" w:rsidRPr="005B2096" w:rsidRDefault="00AE7D90" w:rsidP="00AB08AC">
            <w:pPr>
              <w:spacing w:after="120"/>
              <w:contextualSpacing/>
              <w:rPr>
                <w:rFonts w:ascii="Calibri Light" w:hAnsi="Calibri Light" w:cs="Calibri Light"/>
              </w:rPr>
            </w:pPr>
            <w:r w:rsidRPr="00404E28">
              <w:rPr>
                <w:rFonts w:ascii="Calibri Light" w:hAnsi="Calibri Light" w:cs="Calibri Light"/>
              </w:rPr>
              <w:t>State and Territory Governments</w:t>
            </w:r>
            <w:r w:rsidRPr="00404E28">
              <w:rPr>
                <w:rFonts w:ascii="Calibri Light" w:hAnsi="Calibri Light" w:cs="Calibri Light"/>
                <w:vertAlign w:val="superscript"/>
              </w:rPr>
              <w:t>1</w:t>
            </w:r>
          </w:p>
          <w:p w14:paraId="22E377DE" w14:textId="77777777" w:rsidR="00AE7D90" w:rsidRDefault="00AE7D90" w:rsidP="00AB08AC">
            <w:pPr>
              <w:spacing w:after="120"/>
              <w:contextualSpacing/>
              <w:rPr>
                <w:rFonts w:ascii="Calibri Light" w:hAnsi="Calibri Light" w:cs="Calibri Light"/>
              </w:rPr>
            </w:pPr>
          </w:p>
          <w:p w14:paraId="0B7A3E11" w14:textId="77777777" w:rsidR="00AE7D90" w:rsidRDefault="00AE7D90" w:rsidP="00AB08AC">
            <w:pPr>
              <w:spacing w:after="120"/>
              <w:contextualSpacing/>
              <w:rPr>
                <w:rFonts w:ascii="Calibri Light" w:hAnsi="Calibri Light" w:cs="Calibri Light"/>
              </w:rPr>
            </w:pPr>
          </w:p>
          <w:p w14:paraId="6BABD16A" w14:textId="77777777" w:rsidR="00AE7D90" w:rsidRPr="005B2096" w:rsidRDefault="00AE7D90" w:rsidP="00AB08AC">
            <w:pPr>
              <w:spacing w:after="120"/>
              <w:contextualSpacing/>
              <w:rPr>
                <w:rFonts w:ascii="Calibri Light" w:hAnsi="Calibri Light" w:cs="Calibri Light"/>
              </w:rPr>
            </w:pPr>
          </w:p>
          <w:p w14:paraId="398DB509" w14:textId="77777777" w:rsidR="00AE7D90" w:rsidRPr="005B2096" w:rsidRDefault="00AE7D90" w:rsidP="00AB08AC">
            <w:pPr>
              <w:spacing w:after="120"/>
              <w:contextualSpacing/>
              <w:rPr>
                <w:rFonts w:ascii="Calibri Light" w:hAnsi="Calibri Light" w:cs="Calibri Light"/>
              </w:rPr>
            </w:pPr>
          </w:p>
        </w:tc>
        <w:tc>
          <w:tcPr>
            <w:tcW w:w="1792" w:type="dxa"/>
            <w:shd w:val="clear" w:color="auto" w:fill="auto"/>
          </w:tcPr>
          <w:p w14:paraId="0C66F8E8"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$254.4 million over four years (as announced)</w:t>
            </w:r>
            <w:r>
              <w:rPr>
                <w:rFonts w:ascii="Calibri Light" w:hAnsi="Calibri Light" w:cs="Calibri Light"/>
                <w:vertAlign w:val="superscript"/>
              </w:rPr>
              <w:t>2</w:t>
            </w:r>
          </w:p>
          <w:p w14:paraId="65679F91" w14:textId="77777777" w:rsidR="00AE7D90" w:rsidRPr="005B2096" w:rsidRDefault="00AE7D90" w:rsidP="00AB08AC">
            <w:pPr>
              <w:tabs>
                <w:tab w:val="left" w:pos="1440"/>
              </w:tabs>
              <w:rPr>
                <w:rFonts w:ascii="Calibri Light" w:hAnsi="Calibri Light" w:cs="Calibri Light"/>
              </w:rPr>
            </w:pPr>
          </w:p>
          <w:p w14:paraId="53615BDC" w14:textId="77777777" w:rsidR="00AE7D90" w:rsidRPr="005B2096" w:rsidRDefault="00AE7D90" w:rsidP="00AB08AC">
            <w:pPr>
              <w:tabs>
                <w:tab w:val="left" w:pos="1440"/>
              </w:tabs>
              <w:rPr>
                <w:rFonts w:ascii="Calibri Light" w:hAnsi="Calibri Light" w:cs="Calibri Light"/>
              </w:rPr>
            </w:pPr>
          </w:p>
        </w:tc>
        <w:tc>
          <w:tcPr>
            <w:tcW w:w="1793" w:type="dxa"/>
            <w:shd w:val="clear" w:color="auto" w:fill="auto"/>
          </w:tcPr>
          <w:p w14:paraId="590DED1F"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Year 1</w:t>
            </w:r>
          </w:p>
          <w:p w14:paraId="064EB52D"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2021-</w:t>
            </w:r>
            <w:r>
              <w:rPr>
                <w:rFonts w:ascii="Calibri Light" w:hAnsi="Calibri Light" w:cs="Calibri Light"/>
              </w:rPr>
              <w:t>20</w:t>
            </w:r>
            <w:r w:rsidRPr="005B2096">
              <w:rPr>
                <w:rFonts w:ascii="Calibri Light" w:hAnsi="Calibri Light" w:cs="Calibri Light"/>
              </w:rPr>
              <w:t>22</w:t>
            </w:r>
          </w:p>
          <w:p w14:paraId="14893CF1" w14:textId="77777777" w:rsidR="00AE7D90" w:rsidRPr="005B2096" w:rsidRDefault="00AE7D90" w:rsidP="00AB08AC">
            <w:pPr>
              <w:spacing w:after="120"/>
              <w:contextualSpacing/>
              <w:rPr>
                <w:rFonts w:ascii="Calibri Light" w:hAnsi="Calibri Light" w:cs="Calibri Light"/>
              </w:rPr>
            </w:pPr>
          </w:p>
          <w:p w14:paraId="6FF3A8DD"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Year 2</w:t>
            </w:r>
          </w:p>
          <w:p w14:paraId="71A212C7"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2022-2023</w:t>
            </w:r>
          </w:p>
          <w:p w14:paraId="71B75D18" w14:textId="77777777" w:rsidR="00AE7D90" w:rsidRPr="005B2096" w:rsidRDefault="00AE7D90" w:rsidP="00AB08AC">
            <w:pPr>
              <w:spacing w:after="120"/>
              <w:contextualSpacing/>
              <w:rPr>
                <w:rFonts w:ascii="Calibri Light" w:hAnsi="Calibri Light" w:cs="Calibri Light"/>
              </w:rPr>
            </w:pPr>
          </w:p>
          <w:p w14:paraId="227B44DA"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Year 3</w:t>
            </w:r>
          </w:p>
          <w:p w14:paraId="6E0D1EA8"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2024-</w:t>
            </w:r>
            <w:r>
              <w:rPr>
                <w:rFonts w:ascii="Calibri Light" w:hAnsi="Calibri Light" w:cs="Calibri Light"/>
              </w:rPr>
              <w:t>20</w:t>
            </w:r>
            <w:r w:rsidRPr="005B2096">
              <w:rPr>
                <w:rFonts w:ascii="Calibri Light" w:hAnsi="Calibri Light" w:cs="Calibri Light"/>
              </w:rPr>
              <w:t>25</w:t>
            </w:r>
          </w:p>
          <w:p w14:paraId="085E0D78" w14:textId="77777777" w:rsidR="00AE7D90" w:rsidRPr="005B2096" w:rsidRDefault="00AE7D90" w:rsidP="00AB08AC">
            <w:pPr>
              <w:spacing w:after="120"/>
              <w:contextualSpacing/>
              <w:rPr>
                <w:rFonts w:ascii="Calibri Light" w:hAnsi="Calibri Light" w:cs="Calibri Light"/>
              </w:rPr>
            </w:pPr>
          </w:p>
        </w:tc>
      </w:tr>
      <w:tr w:rsidR="00AE7D90" w:rsidRPr="005B2096" w14:paraId="01520572" w14:textId="77777777" w:rsidTr="00AB08AC">
        <w:tc>
          <w:tcPr>
            <w:tcW w:w="581" w:type="dxa"/>
          </w:tcPr>
          <w:p w14:paraId="3680D925"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A9</w:t>
            </w:r>
          </w:p>
        </w:tc>
        <w:tc>
          <w:tcPr>
            <w:tcW w:w="3830" w:type="dxa"/>
          </w:tcPr>
          <w:p w14:paraId="08172FF2"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b/>
                <w:bCs/>
                <w:color w:val="000000" w:themeColor="text1"/>
              </w:rPr>
              <w:t>Fund</w:t>
            </w:r>
            <w:r w:rsidRPr="005B2096">
              <w:rPr>
                <w:rFonts w:ascii="Calibri Light" w:hAnsi="Calibri Light" w:cs="Calibri Light"/>
                <w:color w:val="000000" w:themeColor="text1"/>
              </w:rPr>
              <w:t xml:space="preserve"> staff accommodation required to ensure regional and remote communities have the stable health workforce they require with equitable access to staff accommodation for local Aboriginal and Torres Strait Islander health workforce</w:t>
            </w:r>
          </w:p>
        </w:tc>
        <w:tc>
          <w:tcPr>
            <w:tcW w:w="4181" w:type="dxa"/>
          </w:tcPr>
          <w:p w14:paraId="7C96FFAC"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b/>
                <w:bCs/>
              </w:rPr>
              <w:t>Assess</w:t>
            </w:r>
            <w:r w:rsidRPr="005B2096">
              <w:rPr>
                <w:rFonts w:ascii="Calibri Light" w:hAnsi="Calibri Light" w:cs="Calibri Light"/>
              </w:rPr>
              <w:t xml:space="preserve"> the Aboriginal and Torres Strait Islander community-controlled health sector’s infrastructure needs for staff accommodation</w:t>
            </w:r>
          </w:p>
          <w:p w14:paraId="47DB627E" w14:textId="77777777" w:rsidR="00AE7D90" w:rsidRPr="005B2096" w:rsidRDefault="00AE7D90" w:rsidP="00AB08AC">
            <w:pPr>
              <w:spacing w:after="120"/>
              <w:rPr>
                <w:rFonts w:ascii="Calibri Light" w:hAnsi="Calibri Light" w:cs="Calibri Light"/>
              </w:rPr>
            </w:pPr>
            <w:r w:rsidRPr="005B2096">
              <w:rPr>
                <w:rFonts w:ascii="Calibri Light" w:hAnsi="Calibri Light" w:cs="Calibri Light"/>
                <w:b/>
                <w:bCs/>
              </w:rPr>
              <w:t>Deliver</w:t>
            </w:r>
            <w:r w:rsidRPr="005B2096">
              <w:rPr>
                <w:rFonts w:ascii="Calibri Light" w:hAnsi="Calibri Light" w:cs="Calibri Light"/>
              </w:rPr>
              <w:t xml:space="preserve"> additional staff housing designed in line with accessible building standards and accounting for diverse needs.</w:t>
            </w:r>
          </w:p>
          <w:p w14:paraId="465E6319" w14:textId="77777777" w:rsidR="00AE7D90" w:rsidRPr="005B2096" w:rsidRDefault="00AE7D90" w:rsidP="00AB08AC">
            <w:pPr>
              <w:spacing w:after="120"/>
              <w:contextualSpacing/>
              <w:rPr>
                <w:rFonts w:ascii="Calibri Light" w:hAnsi="Calibri Light" w:cs="Calibri Light"/>
              </w:rPr>
            </w:pPr>
          </w:p>
        </w:tc>
        <w:tc>
          <w:tcPr>
            <w:tcW w:w="1873" w:type="dxa"/>
            <w:shd w:val="clear" w:color="auto" w:fill="auto"/>
          </w:tcPr>
          <w:p w14:paraId="2E0CA26E" w14:textId="77777777" w:rsidR="00AE7D90" w:rsidRDefault="00AE7D90" w:rsidP="00AB08AC">
            <w:pPr>
              <w:spacing w:after="120"/>
              <w:contextualSpacing/>
              <w:rPr>
                <w:rFonts w:ascii="Calibri Light" w:hAnsi="Calibri Light" w:cs="Calibri Light"/>
              </w:rPr>
            </w:pPr>
            <w:r w:rsidRPr="005B2096">
              <w:rPr>
                <w:rFonts w:ascii="Calibri Light" w:hAnsi="Calibri Light" w:cs="Calibri Light"/>
              </w:rPr>
              <w:t xml:space="preserve">Australian Government Department of Health </w:t>
            </w:r>
          </w:p>
          <w:p w14:paraId="35C02277" w14:textId="77777777" w:rsidR="00AE7D90" w:rsidRDefault="00AE7D90" w:rsidP="00AB08AC">
            <w:pPr>
              <w:spacing w:after="120"/>
              <w:contextualSpacing/>
              <w:rPr>
                <w:rFonts w:ascii="Calibri Light" w:hAnsi="Calibri Light" w:cs="Calibri Light"/>
              </w:rPr>
            </w:pPr>
          </w:p>
          <w:p w14:paraId="26F6F42B" w14:textId="77777777" w:rsidR="00AE7D90" w:rsidRPr="005B2096" w:rsidRDefault="00AE7D90" w:rsidP="00AB08AC">
            <w:pPr>
              <w:spacing w:after="120"/>
              <w:contextualSpacing/>
              <w:rPr>
                <w:rFonts w:ascii="Calibri Light" w:hAnsi="Calibri Light" w:cs="Calibri Light"/>
              </w:rPr>
            </w:pPr>
            <w:r w:rsidRPr="000B45C3">
              <w:rPr>
                <w:rFonts w:ascii="Calibri Light" w:hAnsi="Calibri Light" w:cs="Calibri Light"/>
              </w:rPr>
              <w:t>WA Government</w:t>
            </w:r>
            <w:r w:rsidRPr="000B45C3">
              <w:rPr>
                <w:rFonts w:ascii="Calibri Light" w:hAnsi="Calibri Light" w:cs="Calibri Light"/>
                <w:vertAlign w:val="superscript"/>
              </w:rPr>
              <w:t>3</w:t>
            </w:r>
          </w:p>
        </w:tc>
        <w:tc>
          <w:tcPr>
            <w:tcW w:w="1792" w:type="dxa"/>
            <w:shd w:val="clear" w:color="auto" w:fill="auto"/>
          </w:tcPr>
          <w:p w14:paraId="6B01CD4A"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$254.4 million over four years includes funds for clinical staff accommodation only (see A8)</w:t>
            </w:r>
          </w:p>
          <w:p w14:paraId="3F2D8E83" w14:textId="77777777" w:rsidR="00AE7D90" w:rsidRPr="005B2096" w:rsidRDefault="00AE7D90" w:rsidP="00AB08AC">
            <w:pPr>
              <w:spacing w:after="120"/>
              <w:contextualSpacing/>
              <w:rPr>
                <w:rFonts w:ascii="Calibri Light" w:hAnsi="Calibri Light" w:cs="Calibri Light"/>
              </w:rPr>
            </w:pPr>
          </w:p>
          <w:p w14:paraId="51C11087" w14:textId="77777777" w:rsidR="00AE7D90" w:rsidRDefault="00AE7D90" w:rsidP="00AB08AC">
            <w:pPr>
              <w:spacing w:after="120"/>
              <w:contextualSpacing/>
              <w:rPr>
                <w:rFonts w:ascii="Calibri Light" w:hAnsi="Calibri Light" w:cs="Calibri Light"/>
              </w:rPr>
            </w:pPr>
            <w:r w:rsidRPr="005B2096">
              <w:rPr>
                <w:rFonts w:ascii="Calibri Light" w:hAnsi="Calibri Light" w:cs="Calibri Light"/>
              </w:rPr>
              <w:t xml:space="preserve">Non-clinical staff – to be determined </w:t>
            </w:r>
          </w:p>
          <w:p w14:paraId="76A3FC2F" w14:textId="77777777" w:rsidR="00AE7D90" w:rsidRPr="005B2096" w:rsidRDefault="00AE7D90" w:rsidP="00AB08AC">
            <w:pPr>
              <w:spacing w:after="120"/>
              <w:contextualSpacing/>
              <w:rPr>
                <w:rFonts w:ascii="Calibri Light" w:hAnsi="Calibri Light" w:cs="Calibri Light"/>
              </w:rPr>
            </w:pPr>
          </w:p>
        </w:tc>
        <w:tc>
          <w:tcPr>
            <w:tcW w:w="1793" w:type="dxa"/>
            <w:shd w:val="clear" w:color="auto" w:fill="auto"/>
          </w:tcPr>
          <w:p w14:paraId="0C0E7B8E"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Year 1</w:t>
            </w:r>
          </w:p>
          <w:p w14:paraId="22A6C064"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2021-</w:t>
            </w:r>
            <w:r>
              <w:rPr>
                <w:rFonts w:ascii="Calibri Light" w:hAnsi="Calibri Light" w:cs="Calibri Light"/>
              </w:rPr>
              <w:t>20</w:t>
            </w:r>
            <w:r w:rsidRPr="005B2096">
              <w:rPr>
                <w:rFonts w:ascii="Calibri Light" w:hAnsi="Calibri Light" w:cs="Calibri Light"/>
              </w:rPr>
              <w:t>22</w:t>
            </w:r>
          </w:p>
          <w:p w14:paraId="722F92F1" w14:textId="77777777" w:rsidR="00AE7D90" w:rsidRPr="005B2096" w:rsidRDefault="00AE7D90" w:rsidP="00AB08AC">
            <w:pPr>
              <w:spacing w:after="120"/>
              <w:contextualSpacing/>
              <w:rPr>
                <w:rFonts w:ascii="Calibri Light" w:hAnsi="Calibri Light" w:cs="Calibri Light"/>
              </w:rPr>
            </w:pPr>
          </w:p>
          <w:p w14:paraId="262526DB"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Year 2</w:t>
            </w:r>
          </w:p>
          <w:p w14:paraId="7A506A69"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2022-2023</w:t>
            </w:r>
          </w:p>
          <w:p w14:paraId="7A0F2997" w14:textId="77777777" w:rsidR="00AE7D90" w:rsidRPr="005B2096" w:rsidRDefault="00AE7D90" w:rsidP="00AB08AC">
            <w:pPr>
              <w:spacing w:after="120"/>
              <w:contextualSpacing/>
              <w:rPr>
                <w:rFonts w:ascii="Calibri Light" w:hAnsi="Calibri Light" w:cs="Calibri Light"/>
              </w:rPr>
            </w:pPr>
          </w:p>
          <w:p w14:paraId="32BB71FA"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Year 3</w:t>
            </w:r>
          </w:p>
          <w:p w14:paraId="5C1061DB"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2024-</w:t>
            </w:r>
            <w:r>
              <w:rPr>
                <w:rFonts w:ascii="Calibri Light" w:hAnsi="Calibri Light" w:cs="Calibri Light"/>
              </w:rPr>
              <w:t>20</w:t>
            </w:r>
            <w:r w:rsidRPr="005B2096">
              <w:rPr>
                <w:rFonts w:ascii="Calibri Light" w:hAnsi="Calibri Light" w:cs="Calibri Light"/>
              </w:rPr>
              <w:t>25</w:t>
            </w:r>
          </w:p>
          <w:p w14:paraId="7B86E6D2" w14:textId="77777777" w:rsidR="00AE7D90" w:rsidRPr="005B2096" w:rsidRDefault="00AE7D90" w:rsidP="00AB08AC">
            <w:pPr>
              <w:spacing w:after="120"/>
              <w:contextualSpacing/>
              <w:rPr>
                <w:rFonts w:ascii="Calibri Light" w:hAnsi="Calibri Light" w:cs="Calibri Light"/>
              </w:rPr>
            </w:pPr>
          </w:p>
        </w:tc>
      </w:tr>
      <w:tr w:rsidR="00AE7D90" w:rsidRPr="005B2096" w14:paraId="44CCDA16" w14:textId="77777777" w:rsidTr="00AB08AC">
        <w:tc>
          <w:tcPr>
            <w:tcW w:w="581" w:type="dxa"/>
          </w:tcPr>
          <w:p w14:paraId="42A7A355"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rPr>
              <w:t>A10</w:t>
            </w:r>
          </w:p>
        </w:tc>
        <w:tc>
          <w:tcPr>
            <w:tcW w:w="3830" w:type="dxa"/>
          </w:tcPr>
          <w:p w14:paraId="3431C135"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b/>
                <w:bCs/>
                <w:color w:val="000000" w:themeColor="text1"/>
                <w:lang w:val="en-US"/>
              </w:rPr>
              <w:t>Fund</w:t>
            </w:r>
            <w:r w:rsidRPr="005B2096">
              <w:rPr>
                <w:rFonts w:ascii="Calibri Light" w:hAnsi="Calibri Light" w:cs="Calibri Light"/>
                <w:color w:val="000000" w:themeColor="text1"/>
                <w:lang w:val="en-US"/>
              </w:rPr>
              <w:t xml:space="preserve"> reliable IT capacity and connectivity for electronic clinical information systems, telehealth, </w:t>
            </w:r>
            <w:r w:rsidRPr="005B2096">
              <w:rPr>
                <w:rFonts w:ascii="Calibri Light" w:hAnsi="Calibri Light" w:cs="Calibri Light"/>
                <w:color w:val="000000" w:themeColor="text1"/>
                <w:lang w:val="en-US"/>
              </w:rPr>
              <w:lastRenderedPageBreak/>
              <w:t>community engagement, and client connection with their community-controlled health service in every region (urban, regional and remote) and equitable access to other technological and digital innovations to improve culturally safe, cost-effective service delivery.</w:t>
            </w:r>
          </w:p>
        </w:tc>
        <w:tc>
          <w:tcPr>
            <w:tcW w:w="4181" w:type="dxa"/>
          </w:tcPr>
          <w:p w14:paraId="73CDDE93"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b/>
                <w:bCs/>
                <w:color w:val="000000" w:themeColor="text1"/>
              </w:rPr>
              <w:lastRenderedPageBreak/>
              <w:t>Provide</w:t>
            </w:r>
            <w:r w:rsidRPr="005B2096">
              <w:rPr>
                <w:rFonts w:ascii="Calibri Light" w:hAnsi="Calibri Light" w:cs="Calibri Light"/>
                <w:color w:val="000000" w:themeColor="text1"/>
              </w:rPr>
              <w:t xml:space="preserve"> IT infrastructure to support improved </w:t>
            </w:r>
            <w:r w:rsidRPr="005B2096">
              <w:rPr>
                <w:rFonts w:ascii="Calibri Light" w:hAnsi="Calibri Light" w:cs="Calibri Light"/>
              </w:rPr>
              <w:t xml:space="preserve">connectivity, data security and </w:t>
            </w:r>
            <w:r w:rsidRPr="005B2096">
              <w:rPr>
                <w:rFonts w:ascii="Calibri Light" w:hAnsi="Calibri Light" w:cs="Calibri Light"/>
              </w:rPr>
              <w:lastRenderedPageBreak/>
              <w:t>increased consultations remotely using telehealth</w:t>
            </w:r>
          </w:p>
          <w:p w14:paraId="3BE0A2D1" w14:textId="77777777" w:rsidR="00AE7D90" w:rsidRPr="005B2096" w:rsidRDefault="00AE7D90" w:rsidP="002D2CE0">
            <w:pPr>
              <w:spacing w:before="0" w:after="120"/>
              <w:rPr>
                <w:rFonts w:ascii="Calibri Light" w:hAnsi="Calibri Light" w:cs="Calibri Light"/>
              </w:rPr>
            </w:pPr>
          </w:p>
          <w:p w14:paraId="33D2F7AE" w14:textId="77777777" w:rsidR="00AE7D90" w:rsidRPr="005B2096" w:rsidRDefault="00AE7D90" w:rsidP="002D2CE0">
            <w:pPr>
              <w:spacing w:before="0" w:after="120"/>
              <w:rPr>
                <w:rFonts w:ascii="Calibri Light" w:hAnsi="Calibri Light" w:cs="Calibri Light"/>
              </w:rPr>
            </w:pPr>
          </w:p>
        </w:tc>
        <w:tc>
          <w:tcPr>
            <w:tcW w:w="1873" w:type="dxa"/>
            <w:shd w:val="clear" w:color="auto" w:fill="auto"/>
          </w:tcPr>
          <w:p w14:paraId="3F749A30"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rPr>
              <w:lastRenderedPageBreak/>
              <w:t xml:space="preserve">Australian Government </w:t>
            </w:r>
            <w:r w:rsidRPr="005B2096">
              <w:rPr>
                <w:rFonts w:ascii="Calibri Light" w:hAnsi="Calibri Light" w:cs="Calibri Light"/>
              </w:rPr>
              <w:lastRenderedPageBreak/>
              <w:t xml:space="preserve">Department of Health </w:t>
            </w:r>
          </w:p>
          <w:p w14:paraId="774C0451" w14:textId="77777777" w:rsidR="00AE7D90" w:rsidRPr="005B2096" w:rsidRDefault="00AE7D90" w:rsidP="002D2CE0">
            <w:pPr>
              <w:spacing w:before="0" w:after="120"/>
              <w:rPr>
                <w:rFonts w:ascii="Calibri Light" w:hAnsi="Calibri Light" w:cs="Calibri Light"/>
              </w:rPr>
            </w:pPr>
          </w:p>
        </w:tc>
        <w:tc>
          <w:tcPr>
            <w:tcW w:w="1792" w:type="dxa"/>
            <w:shd w:val="clear" w:color="auto" w:fill="auto"/>
          </w:tcPr>
          <w:p w14:paraId="3A4E924F" w14:textId="77777777" w:rsidR="00AE7D90" w:rsidRDefault="00AE7D90" w:rsidP="002D2CE0">
            <w:pPr>
              <w:spacing w:before="0" w:after="120"/>
              <w:rPr>
                <w:rFonts w:ascii="Calibri Light" w:hAnsi="Calibri Light" w:cs="Calibri Light"/>
              </w:rPr>
            </w:pPr>
            <w:r w:rsidRPr="005B2096">
              <w:rPr>
                <w:rFonts w:ascii="Calibri Light" w:hAnsi="Calibri Light" w:cs="Calibri Light"/>
              </w:rPr>
              <w:lastRenderedPageBreak/>
              <w:t>$254.4 million over four years (see A8)</w:t>
            </w:r>
          </w:p>
          <w:p w14:paraId="734FB657" w14:textId="77777777" w:rsidR="00AE7D90" w:rsidRDefault="00AE7D90" w:rsidP="002D2CE0">
            <w:pPr>
              <w:spacing w:before="0" w:after="120"/>
              <w:rPr>
                <w:rFonts w:ascii="Calibri Light" w:hAnsi="Calibri Light" w:cs="Calibri Light"/>
              </w:rPr>
            </w:pPr>
          </w:p>
          <w:p w14:paraId="5413190C" w14:textId="77777777" w:rsidR="00AE7D90" w:rsidRPr="005B2096" w:rsidRDefault="00AE7D90" w:rsidP="002D2CE0">
            <w:pPr>
              <w:spacing w:before="0" w:after="120"/>
              <w:rPr>
                <w:rFonts w:ascii="Calibri Light" w:hAnsi="Calibri Light" w:cs="Calibri Light"/>
              </w:rPr>
            </w:pPr>
          </w:p>
        </w:tc>
        <w:tc>
          <w:tcPr>
            <w:tcW w:w="1793" w:type="dxa"/>
            <w:shd w:val="clear" w:color="auto" w:fill="auto"/>
          </w:tcPr>
          <w:p w14:paraId="7BB4BB7F"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lastRenderedPageBreak/>
              <w:t>Year 1</w:t>
            </w:r>
          </w:p>
          <w:p w14:paraId="5F89E4AE"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2021-</w:t>
            </w:r>
            <w:r>
              <w:rPr>
                <w:rFonts w:ascii="Calibri Light" w:hAnsi="Calibri Light" w:cs="Calibri Light"/>
              </w:rPr>
              <w:t>20</w:t>
            </w:r>
            <w:r w:rsidRPr="005B2096">
              <w:rPr>
                <w:rFonts w:ascii="Calibri Light" w:hAnsi="Calibri Light" w:cs="Calibri Light"/>
              </w:rPr>
              <w:t>22</w:t>
            </w:r>
          </w:p>
          <w:p w14:paraId="4816D6A1" w14:textId="77777777" w:rsidR="00AE7D90" w:rsidRPr="005B2096" w:rsidRDefault="00AE7D90" w:rsidP="00AB08AC">
            <w:pPr>
              <w:spacing w:after="120"/>
              <w:contextualSpacing/>
              <w:rPr>
                <w:rFonts w:ascii="Calibri Light" w:hAnsi="Calibri Light" w:cs="Calibri Light"/>
              </w:rPr>
            </w:pPr>
          </w:p>
          <w:p w14:paraId="2F34BC26"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lastRenderedPageBreak/>
              <w:t>Year 2</w:t>
            </w:r>
          </w:p>
          <w:p w14:paraId="1522D998"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2022-2023</w:t>
            </w:r>
          </w:p>
          <w:p w14:paraId="7502633F" w14:textId="77777777" w:rsidR="00AE7D90" w:rsidRPr="005B2096" w:rsidRDefault="00AE7D90" w:rsidP="00AB08AC">
            <w:pPr>
              <w:spacing w:after="120"/>
              <w:contextualSpacing/>
              <w:rPr>
                <w:rFonts w:ascii="Calibri Light" w:hAnsi="Calibri Light" w:cs="Calibri Light"/>
              </w:rPr>
            </w:pPr>
          </w:p>
          <w:p w14:paraId="77A66F94"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Year 3</w:t>
            </w:r>
          </w:p>
          <w:p w14:paraId="47137F2B" w14:textId="77777777" w:rsidR="00AE7D90" w:rsidRPr="005B2096" w:rsidRDefault="00AE7D90" w:rsidP="00AB08AC">
            <w:pPr>
              <w:spacing w:after="120"/>
              <w:contextualSpacing/>
              <w:rPr>
                <w:rFonts w:ascii="Calibri Light" w:hAnsi="Calibri Light" w:cs="Calibri Light"/>
              </w:rPr>
            </w:pPr>
            <w:r w:rsidRPr="005B2096">
              <w:rPr>
                <w:rFonts w:ascii="Calibri Light" w:hAnsi="Calibri Light" w:cs="Calibri Light"/>
              </w:rPr>
              <w:t>2024-</w:t>
            </w:r>
            <w:r>
              <w:rPr>
                <w:rFonts w:ascii="Calibri Light" w:hAnsi="Calibri Light" w:cs="Calibri Light"/>
              </w:rPr>
              <w:t>20</w:t>
            </w:r>
            <w:r w:rsidRPr="005B2096">
              <w:rPr>
                <w:rFonts w:ascii="Calibri Light" w:hAnsi="Calibri Light" w:cs="Calibri Light"/>
              </w:rPr>
              <w:t>25</w:t>
            </w:r>
          </w:p>
          <w:p w14:paraId="52027EF2" w14:textId="77777777" w:rsidR="00AE7D90" w:rsidRPr="005B2096" w:rsidRDefault="00AE7D90" w:rsidP="00AB08AC">
            <w:pPr>
              <w:spacing w:after="120"/>
              <w:rPr>
                <w:rFonts w:ascii="Calibri Light" w:hAnsi="Calibri Light" w:cs="Calibri Light"/>
              </w:rPr>
            </w:pPr>
          </w:p>
        </w:tc>
      </w:tr>
    </w:tbl>
    <w:bookmarkEnd w:id="48"/>
    <w:p w14:paraId="01D76579" w14:textId="77777777" w:rsidR="00AE7D90" w:rsidRDefault="00AE7D90" w:rsidP="00AE7D90">
      <w:pPr>
        <w:spacing w:before="120"/>
        <w:rPr>
          <w:rFonts w:ascii="Calibri Light" w:hAnsi="Calibri Light" w:cs="Calibri Light"/>
          <w:sz w:val="16"/>
          <w:szCs w:val="16"/>
          <w:lang w:val="en-US"/>
        </w:rPr>
      </w:pPr>
      <w:r w:rsidRPr="005B2096">
        <w:rPr>
          <w:rFonts w:ascii="Calibri Light" w:hAnsi="Calibri Light" w:cs="Calibri Light"/>
          <w:sz w:val="16"/>
          <w:szCs w:val="16"/>
        </w:rPr>
        <w:lastRenderedPageBreak/>
        <w:t xml:space="preserve">1. Commonwealth, state and territory governments implementing their commitments under the National Agreement including their respective jurisdictional </w:t>
      </w:r>
      <w:r>
        <w:rPr>
          <w:rFonts w:ascii="Calibri Light" w:hAnsi="Calibri Light" w:cs="Calibri Light"/>
          <w:sz w:val="16"/>
          <w:szCs w:val="16"/>
        </w:rPr>
        <w:t xml:space="preserve">Closing the Gap </w:t>
      </w:r>
      <w:r w:rsidRPr="005B2096">
        <w:rPr>
          <w:rFonts w:ascii="Calibri Light" w:hAnsi="Calibri Light" w:cs="Calibri Light"/>
          <w:sz w:val="16"/>
          <w:szCs w:val="16"/>
        </w:rPr>
        <w:t>Implementation Plans</w:t>
      </w:r>
    </w:p>
    <w:p w14:paraId="3F5C8084" w14:textId="77777777" w:rsidR="00AE7D90" w:rsidRDefault="00AE7D90" w:rsidP="00AE7D90">
      <w:pPr>
        <w:spacing w:before="120"/>
        <w:rPr>
          <w:rFonts w:ascii="Calibri Light" w:hAnsi="Calibri Light" w:cs="Calibri Light"/>
          <w:sz w:val="16"/>
          <w:szCs w:val="16"/>
          <w:lang w:val="en-US"/>
        </w:rPr>
      </w:pPr>
      <w:r>
        <w:rPr>
          <w:rFonts w:ascii="Calibri Light" w:hAnsi="Calibri Light" w:cs="Calibri Light"/>
          <w:sz w:val="16"/>
          <w:szCs w:val="16"/>
          <w:lang w:val="en-US"/>
        </w:rPr>
        <w:t>2</w:t>
      </w:r>
      <w:r w:rsidRPr="005B2096">
        <w:rPr>
          <w:rFonts w:ascii="Calibri Light" w:hAnsi="Calibri Light" w:cs="Calibri Light"/>
          <w:sz w:val="16"/>
          <w:szCs w:val="16"/>
          <w:lang w:val="en-US"/>
        </w:rPr>
        <w:t>. Prime Minister’s announcement http://www.pm.gov.au/media/commonealths-closing-gap-implementation-pla</w:t>
      </w:r>
      <w:r>
        <w:rPr>
          <w:rFonts w:ascii="Calibri Light" w:hAnsi="Calibri Light" w:cs="Calibri Light"/>
          <w:sz w:val="16"/>
          <w:szCs w:val="16"/>
          <w:lang w:val="en-US"/>
        </w:rPr>
        <w:t>n</w:t>
      </w:r>
    </w:p>
    <w:p w14:paraId="5ABB0C37" w14:textId="77777777" w:rsidR="00AE7D90" w:rsidRPr="005B2096" w:rsidRDefault="00AE7D90" w:rsidP="00AE7D90">
      <w:pPr>
        <w:spacing w:before="120"/>
        <w:rPr>
          <w:rFonts w:ascii="Calibri Light" w:hAnsi="Calibri Light" w:cs="Calibri Light"/>
          <w:sz w:val="16"/>
          <w:szCs w:val="16"/>
          <w:lang w:val="en-US"/>
        </w:rPr>
      </w:pPr>
      <w:r>
        <w:rPr>
          <w:rFonts w:ascii="Calibri Light" w:hAnsi="Calibri Light" w:cs="Calibri Light"/>
          <w:sz w:val="16"/>
          <w:szCs w:val="16"/>
          <w:lang w:val="en-US"/>
        </w:rPr>
        <w:t>3. WA Government Department of Premier and Cabinet. Closing the Gap Jurisdictional Implementation Plan: Western Australia (page 137)</w:t>
      </w:r>
    </w:p>
    <w:p w14:paraId="6D2667DC" w14:textId="6C07CA39" w:rsidR="00C44A6E" w:rsidRDefault="00C44A6E" w:rsidP="006B16D2">
      <w:pPr>
        <w:spacing w:before="120"/>
        <w:rPr>
          <w:rFonts w:ascii="Calibri Light" w:hAnsi="Calibri Light" w:cs="Calibri Light"/>
          <w:sz w:val="16"/>
          <w:szCs w:val="16"/>
          <w:lang w:val="en-US"/>
        </w:rPr>
      </w:pPr>
      <w:r>
        <w:rPr>
          <w:rFonts w:ascii="Calibri Light" w:hAnsi="Calibri Light" w:cs="Calibri Light"/>
          <w:sz w:val="16"/>
          <w:szCs w:val="16"/>
          <w:lang w:val="en-US"/>
        </w:rPr>
        <w:br w:type="page"/>
      </w:r>
    </w:p>
    <w:p w14:paraId="3C1284F5" w14:textId="496D1591" w:rsidR="006B16D2" w:rsidRDefault="006B16D2" w:rsidP="00036CD7">
      <w:pPr>
        <w:pStyle w:val="h3"/>
      </w:pPr>
      <w:bookmarkStart w:id="49" w:name="_Toc86928766"/>
      <w:bookmarkStart w:id="50" w:name="_Toc86929273"/>
      <w:bookmarkStart w:id="51" w:name="_Toc88818204"/>
      <w:r w:rsidRPr="006B16D2">
        <w:lastRenderedPageBreak/>
        <w:t>Service Delivery</w:t>
      </w:r>
      <w:bookmarkEnd w:id="49"/>
      <w:bookmarkEnd w:id="50"/>
      <w:bookmarkEnd w:id="51"/>
    </w:p>
    <w:p w14:paraId="70F42285" w14:textId="63BD2222" w:rsidR="006B16D2" w:rsidRPr="005B2096" w:rsidRDefault="00AE7D90" w:rsidP="00AE7D90">
      <w:pPr>
        <w:spacing w:after="120" w:line="240" w:lineRule="auto"/>
        <w:ind w:right="352"/>
        <w:rPr>
          <w:rFonts w:ascii="Calibri Light" w:hAnsi="Calibri Light" w:cs="Calibri Light"/>
          <w:b/>
          <w:bCs/>
          <w:color w:val="000090"/>
          <w:lang w:val="en-US"/>
        </w:rPr>
      </w:pPr>
      <w:r w:rsidRPr="005B2096">
        <w:rPr>
          <w:rFonts w:ascii="Calibri Light" w:hAnsi="Calibri Light" w:cs="Calibri Light"/>
          <w:b/>
          <w:bCs/>
          <w:color w:val="000090"/>
        </w:rPr>
        <w:t>OUTCOME:</w:t>
      </w:r>
      <w:r w:rsidR="005956DA">
        <w:rPr>
          <w:rFonts w:ascii="Calibri Light" w:hAnsi="Calibri Light" w:cs="Calibri Light"/>
          <w:b/>
          <w:bCs/>
          <w:color w:val="000090"/>
        </w:rPr>
        <w:t xml:space="preserve"> </w:t>
      </w:r>
      <w:r w:rsidRPr="005B2096">
        <w:rPr>
          <w:rFonts w:ascii="Calibri Light" w:hAnsi="Calibri Light" w:cs="Calibri Light"/>
          <w:b/>
          <w:bCs/>
          <w:color w:val="000090"/>
          <w:lang w:val="en-US"/>
        </w:rPr>
        <w:t xml:space="preserve">The Aboriginal and Torres Strait Islander community-controlled health sector continues to lead, innovate, expand and excel in delivering services to Aboriginal and Torres Strait Islander peoples.        </w:t>
      </w:r>
    </w:p>
    <w:tbl>
      <w:tblPr>
        <w:tblStyle w:val="TableGrid"/>
        <w:tblW w:w="0" w:type="auto"/>
        <w:tblLook w:val="04A0" w:firstRow="1" w:lastRow="0" w:firstColumn="1" w:lastColumn="0" w:noHBand="0" w:noVBand="1"/>
        <w:tblCaption w:val="Action Table - Service Delivery"/>
        <w:tblDescription w:val="Table including the actions, descriptions, responsibilities, resources and timelines for outcome -The Aboriginal and Torres Strait Islander community-controlled health sector continues to lead, innovate, expand and excel in delivering services to Aboriginal and Torres Strait Islander peoples.        "/>
      </w:tblPr>
      <w:tblGrid>
        <w:gridCol w:w="581"/>
        <w:gridCol w:w="3930"/>
        <w:gridCol w:w="4000"/>
        <w:gridCol w:w="1868"/>
        <w:gridCol w:w="1784"/>
        <w:gridCol w:w="1787"/>
      </w:tblGrid>
      <w:tr w:rsidR="006B16D2" w:rsidRPr="005B2096" w14:paraId="0C0BB796" w14:textId="77777777" w:rsidTr="00EB4505">
        <w:trPr>
          <w:tblHeader/>
        </w:trPr>
        <w:tc>
          <w:tcPr>
            <w:tcW w:w="581" w:type="dxa"/>
            <w:shd w:val="clear" w:color="auto" w:fill="D9E2F3" w:themeFill="accent1" w:themeFillTint="33"/>
          </w:tcPr>
          <w:p w14:paraId="60DD2BAB" w14:textId="77777777" w:rsidR="006B16D2" w:rsidRPr="005B2096" w:rsidRDefault="006B16D2" w:rsidP="00EB4505">
            <w:pPr>
              <w:spacing w:after="120"/>
              <w:rPr>
                <w:rFonts w:ascii="Calibri Light" w:hAnsi="Calibri Light" w:cs="Calibri Light"/>
                <w:b/>
                <w:bCs/>
              </w:rPr>
            </w:pPr>
            <w:r w:rsidRPr="005B2096">
              <w:rPr>
                <w:rFonts w:ascii="Calibri Light" w:hAnsi="Calibri Light" w:cs="Calibri Light"/>
                <w:b/>
                <w:bCs/>
              </w:rPr>
              <w:t>No.</w:t>
            </w:r>
          </w:p>
        </w:tc>
        <w:tc>
          <w:tcPr>
            <w:tcW w:w="3971" w:type="dxa"/>
            <w:shd w:val="clear" w:color="auto" w:fill="D9E2F3" w:themeFill="accent1" w:themeFillTint="33"/>
          </w:tcPr>
          <w:p w14:paraId="1FE139EE" w14:textId="77777777" w:rsidR="006B16D2" w:rsidRPr="005B2096" w:rsidRDefault="006B16D2" w:rsidP="00EB4505">
            <w:pPr>
              <w:spacing w:after="120"/>
              <w:rPr>
                <w:rFonts w:ascii="Calibri Light" w:hAnsi="Calibri Light" w:cs="Calibri Light"/>
                <w:b/>
                <w:bCs/>
              </w:rPr>
            </w:pPr>
            <w:r w:rsidRPr="005B2096">
              <w:rPr>
                <w:rFonts w:ascii="Calibri Light" w:hAnsi="Calibri Light" w:cs="Calibri Light"/>
                <w:b/>
                <w:bCs/>
              </w:rPr>
              <w:t>ACTION</w:t>
            </w:r>
          </w:p>
        </w:tc>
        <w:tc>
          <w:tcPr>
            <w:tcW w:w="4040" w:type="dxa"/>
            <w:shd w:val="clear" w:color="auto" w:fill="D9E2F3" w:themeFill="accent1" w:themeFillTint="33"/>
          </w:tcPr>
          <w:p w14:paraId="1E782E23" w14:textId="77777777" w:rsidR="006B16D2" w:rsidRPr="005B2096" w:rsidRDefault="006B16D2" w:rsidP="00EB4505">
            <w:pPr>
              <w:spacing w:after="120"/>
              <w:rPr>
                <w:rFonts w:ascii="Calibri Light" w:hAnsi="Calibri Light" w:cs="Calibri Light"/>
                <w:b/>
                <w:bCs/>
              </w:rPr>
            </w:pPr>
            <w:r w:rsidRPr="005B2096">
              <w:rPr>
                <w:rFonts w:ascii="Calibri Light" w:hAnsi="Calibri Light" w:cs="Calibri Light"/>
                <w:b/>
                <w:bCs/>
              </w:rPr>
              <w:t xml:space="preserve">Description </w:t>
            </w:r>
          </w:p>
        </w:tc>
        <w:tc>
          <w:tcPr>
            <w:tcW w:w="1873" w:type="dxa"/>
            <w:tcBorders>
              <w:bottom w:val="single" w:sz="4" w:space="0" w:color="auto"/>
            </w:tcBorders>
            <w:shd w:val="clear" w:color="auto" w:fill="D9E2F3" w:themeFill="accent1" w:themeFillTint="33"/>
          </w:tcPr>
          <w:p w14:paraId="038EC3EB" w14:textId="77777777" w:rsidR="006B16D2" w:rsidRPr="005B2096" w:rsidRDefault="006B16D2" w:rsidP="00EB4505">
            <w:pPr>
              <w:spacing w:after="120"/>
              <w:rPr>
                <w:rFonts w:ascii="Calibri Light" w:hAnsi="Calibri Light" w:cs="Calibri Light"/>
                <w:b/>
                <w:bCs/>
              </w:rPr>
            </w:pPr>
            <w:r w:rsidRPr="005B2096">
              <w:rPr>
                <w:rFonts w:ascii="Calibri Light" w:hAnsi="Calibri Light" w:cs="Calibri Light"/>
                <w:b/>
                <w:bCs/>
              </w:rPr>
              <w:t>Responsibilities</w:t>
            </w:r>
          </w:p>
        </w:tc>
        <w:tc>
          <w:tcPr>
            <w:tcW w:w="1792" w:type="dxa"/>
            <w:tcBorders>
              <w:bottom w:val="single" w:sz="4" w:space="0" w:color="auto"/>
            </w:tcBorders>
            <w:shd w:val="clear" w:color="auto" w:fill="D9E2F3" w:themeFill="accent1" w:themeFillTint="33"/>
          </w:tcPr>
          <w:p w14:paraId="16FEC1A0" w14:textId="77777777" w:rsidR="006B16D2" w:rsidRPr="005B2096" w:rsidRDefault="006B16D2" w:rsidP="00EB4505">
            <w:pPr>
              <w:spacing w:after="120"/>
              <w:rPr>
                <w:rFonts w:ascii="Calibri Light" w:hAnsi="Calibri Light" w:cs="Calibri Light"/>
                <w:b/>
                <w:bCs/>
              </w:rPr>
            </w:pPr>
            <w:r w:rsidRPr="005B2096">
              <w:rPr>
                <w:rFonts w:ascii="Calibri Light" w:hAnsi="Calibri Light" w:cs="Calibri Light"/>
                <w:b/>
                <w:bCs/>
              </w:rPr>
              <w:t>Resources</w:t>
            </w:r>
          </w:p>
        </w:tc>
        <w:tc>
          <w:tcPr>
            <w:tcW w:w="1793" w:type="dxa"/>
            <w:tcBorders>
              <w:bottom w:val="single" w:sz="4" w:space="0" w:color="auto"/>
            </w:tcBorders>
            <w:shd w:val="clear" w:color="auto" w:fill="D9E2F3" w:themeFill="accent1" w:themeFillTint="33"/>
          </w:tcPr>
          <w:p w14:paraId="4656D3E4" w14:textId="77777777" w:rsidR="006B16D2" w:rsidRPr="005B2096" w:rsidRDefault="006B16D2" w:rsidP="00EB4505">
            <w:pPr>
              <w:spacing w:after="120"/>
              <w:rPr>
                <w:rFonts w:ascii="Calibri Light" w:hAnsi="Calibri Light" w:cs="Calibri Light"/>
                <w:b/>
                <w:bCs/>
              </w:rPr>
            </w:pPr>
            <w:r w:rsidRPr="005B2096">
              <w:rPr>
                <w:rFonts w:ascii="Calibri Light" w:hAnsi="Calibri Light" w:cs="Calibri Light"/>
                <w:b/>
                <w:bCs/>
              </w:rPr>
              <w:t>Timelines</w:t>
            </w:r>
          </w:p>
        </w:tc>
      </w:tr>
      <w:tr w:rsidR="006B16D2" w:rsidRPr="005B2096" w14:paraId="0CB0E584" w14:textId="77777777" w:rsidTr="00EB4505">
        <w:tc>
          <w:tcPr>
            <w:tcW w:w="581" w:type="dxa"/>
          </w:tcPr>
          <w:p w14:paraId="388E9C3B"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rPr>
              <w:t>A11</w:t>
            </w:r>
          </w:p>
        </w:tc>
        <w:tc>
          <w:tcPr>
            <w:tcW w:w="3971" w:type="dxa"/>
          </w:tcPr>
          <w:p w14:paraId="520C59C0"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b/>
                <w:bCs/>
                <w:color w:val="000000" w:themeColor="text1"/>
                <w:lang w:val="en-US"/>
              </w:rPr>
              <w:t>Rectify</w:t>
            </w:r>
            <w:r w:rsidRPr="005B2096">
              <w:rPr>
                <w:rFonts w:ascii="Calibri Light" w:hAnsi="Calibri Light" w:cs="Calibri Light"/>
                <w:color w:val="000000" w:themeColor="text1"/>
                <w:lang w:val="en-US"/>
              </w:rPr>
              <w:t xml:space="preserve"> overburden of activity reporting to governments to allow the </w:t>
            </w:r>
            <w:r w:rsidRPr="005B2096">
              <w:rPr>
                <w:rFonts w:ascii="Calibri Light" w:hAnsi="Calibri Light" w:cs="Calibri Light"/>
                <w:color w:val="000000" w:themeColor="text1"/>
              </w:rPr>
              <w:t>Aboriginal and Torres Strait Islander community-controlled health</w:t>
            </w:r>
            <w:r w:rsidRPr="005B2096">
              <w:rPr>
                <w:rFonts w:ascii="Calibri Light" w:hAnsi="Calibri Light" w:cs="Calibri Light"/>
                <w:color w:val="000000" w:themeColor="text1"/>
                <w:lang w:val="en-US"/>
              </w:rPr>
              <w:t xml:space="preserve"> sector to focus on outcomes while maintaining accountability.</w:t>
            </w:r>
          </w:p>
        </w:tc>
        <w:tc>
          <w:tcPr>
            <w:tcW w:w="4040" w:type="dxa"/>
          </w:tcPr>
          <w:p w14:paraId="3EDBFE2E"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b/>
                <w:bCs/>
              </w:rPr>
              <w:t>Review</w:t>
            </w:r>
            <w:r w:rsidRPr="005B2096">
              <w:rPr>
                <w:rFonts w:ascii="Calibri Light" w:hAnsi="Calibri Light" w:cs="Calibri Light"/>
              </w:rPr>
              <w:t xml:space="preserve"> reporting frameworks for government funding provided to the Aboriginal and Torres Strait Islander community-controlled sector including but not limited to the Indigenous Australians’ Health Programme to identify opportunities to minimise and/or streamline reporting requirements (where appropriate).</w:t>
            </w:r>
          </w:p>
          <w:p w14:paraId="18B305FA"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b/>
                <w:bCs/>
              </w:rPr>
              <w:t>Use</w:t>
            </w:r>
            <w:r w:rsidRPr="005B2096">
              <w:rPr>
                <w:rFonts w:ascii="Calibri Light" w:hAnsi="Calibri Light" w:cs="Calibri Light"/>
              </w:rPr>
              <w:t xml:space="preserve"> this review to produce an outcomes-focussed program and implementation plan to adjust and permanently retain better reporting arrangements in line with the National Agreement </w:t>
            </w:r>
          </w:p>
        </w:tc>
        <w:tc>
          <w:tcPr>
            <w:tcW w:w="1873" w:type="dxa"/>
            <w:shd w:val="clear" w:color="auto" w:fill="auto"/>
          </w:tcPr>
          <w:p w14:paraId="26F90470" w14:textId="77777777" w:rsidR="006B16D2" w:rsidRPr="005B2096" w:rsidRDefault="006B16D2" w:rsidP="00EB4505">
            <w:pPr>
              <w:spacing w:after="120"/>
              <w:contextualSpacing/>
              <w:rPr>
                <w:rFonts w:ascii="Calibri Light" w:hAnsi="Calibri Light" w:cs="Calibri Light"/>
              </w:rPr>
            </w:pPr>
            <w:r w:rsidRPr="005B2096">
              <w:rPr>
                <w:rFonts w:ascii="Calibri Light" w:hAnsi="Calibri Light" w:cs="Calibri Light"/>
              </w:rPr>
              <w:t>All jurisdictions</w:t>
            </w:r>
            <w:r w:rsidRPr="005B2096">
              <w:rPr>
                <w:rFonts w:ascii="Calibri Light" w:hAnsi="Calibri Light" w:cs="Calibri Light"/>
                <w:vertAlign w:val="superscript"/>
              </w:rPr>
              <w:t>1</w:t>
            </w:r>
          </w:p>
          <w:p w14:paraId="3A2C1481" w14:textId="77777777" w:rsidR="006B16D2" w:rsidRPr="005B2096" w:rsidRDefault="006B16D2" w:rsidP="00EB4505">
            <w:pPr>
              <w:spacing w:after="120"/>
              <w:contextualSpacing/>
              <w:rPr>
                <w:rFonts w:ascii="Calibri Light" w:hAnsi="Calibri Light" w:cs="Calibri Light"/>
              </w:rPr>
            </w:pPr>
          </w:p>
          <w:p w14:paraId="481B6E35" w14:textId="77777777" w:rsidR="006B16D2" w:rsidRPr="005B2096" w:rsidRDefault="006B16D2" w:rsidP="00EB4505">
            <w:pPr>
              <w:spacing w:after="120"/>
              <w:rPr>
                <w:rFonts w:ascii="Calibri Light" w:hAnsi="Calibri Light" w:cs="Calibri Light"/>
              </w:rPr>
            </w:pPr>
          </w:p>
        </w:tc>
        <w:tc>
          <w:tcPr>
            <w:tcW w:w="1792" w:type="dxa"/>
            <w:shd w:val="clear" w:color="auto" w:fill="auto"/>
          </w:tcPr>
          <w:p w14:paraId="5F5FBCD2"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rPr>
              <w:t>Nil additional financial costs (and release of resources currently diverted to unnecessary reporting)</w:t>
            </w:r>
          </w:p>
        </w:tc>
        <w:tc>
          <w:tcPr>
            <w:tcW w:w="1793" w:type="dxa"/>
            <w:shd w:val="clear" w:color="auto" w:fill="auto"/>
          </w:tcPr>
          <w:p w14:paraId="76DBAEC2"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rPr>
              <w:t>Year 1</w:t>
            </w:r>
          </w:p>
          <w:p w14:paraId="64CC4CF3"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rPr>
              <w:t>Consultation on new reporting requirements</w:t>
            </w:r>
          </w:p>
        </w:tc>
      </w:tr>
      <w:tr w:rsidR="006B16D2" w:rsidRPr="005B2096" w14:paraId="4CCF90CF" w14:textId="77777777" w:rsidTr="00EB4505">
        <w:tc>
          <w:tcPr>
            <w:tcW w:w="581" w:type="dxa"/>
          </w:tcPr>
          <w:p w14:paraId="7961A741"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rPr>
              <w:t>A12</w:t>
            </w:r>
          </w:p>
        </w:tc>
        <w:tc>
          <w:tcPr>
            <w:tcW w:w="3971" w:type="dxa"/>
          </w:tcPr>
          <w:p w14:paraId="325A728F"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b/>
                <w:bCs/>
                <w:lang w:val="en-US"/>
              </w:rPr>
              <w:t>Develop</w:t>
            </w:r>
            <w:r w:rsidRPr="005B2096">
              <w:rPr>
                <w:rFonts w:ascii="Calibri Light" w:hAnsi="Calibri Light" w:cs="Calibri Light"/>
                <w:lang w:val="en-US"/>
              </w:rPr>
              <w:t xml:space="preserve"> a national Aboriginal and Torres Strait Islander research agenda led by Aboriginal and Torres Strait Islander community-controlled </w:t>
            </w:r>
            <w:proofErr w:type="spellStart"/>
            <w:r w:rsidRPr="005B2096">
              <w:rPr>
                <w:rFonts w:ascii="Calibri Light" w:hAnsi="Calibri Light" w:cs="Calibri Light"/>
                <w:lang w:val="en-US"/>
              </w:rPr>
              <w:t>organisations</w:t>
            </w:r>
            <w:proofErr w:type="spellEnd"/>
            <w:r w:rsidRPr="005B2096">
              <w:rPr>
                <w:rFonts w:ascii="Calibri Light" w:hAnsi="Calibri Light" w:cs="Calibri Light"/>
                <w:lang w:val="en-US"/>
              </w:rPr>
              <w:t xml:space="preserve"> to secure funding for evidence generation the sector has </w:t>
            </w:r>
            <w:proofErr w:type="spellStart"/>
            <w:r w:rsidRPr="005B2096">
              <w:rPr>
                <w:rFonts w:ascii="Calibri Light" w:hAnsi="Calibri Light" w:cs="Calibri Light"/>
                <w:lang w:val="en-US"/>
              </w:rPr>
              <w:t>prioritised</w:t>
            </w:r>
            <w:proofErr w:type="spellEnd"/>
            <w:r w:rsidRPr="005B2096">
              <w:rPr>
                <w:rFonts w:ascii="Calibri Light" w:hAnsi="Calibri Light" w:cs="Calibri Light"/>
                <w:lang w:val="en-US"/>
              </w:rPr>
              <w:t xml:space="preserve"> </w:t>
            </w:r>
          </w:p>
        </w:tc>
        <w:tc>
          <w:tcPr>
            <w:tcW w:w="4040" w:type="dxa"/>
          </w:tcPr>
          <w:p w14:paraId="52E99ADC"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b/>
                <w:bCs/>
              </w:rPr>
              <w:t>Develop</w:t>
            </w:r>
            <w:r w:rsidRPr="005B2096">
              <w:rPr>
                <w:rFonts w:ascii="Calibri Light" w:hAnsi="Calibri Light" w:cs="Calibri Light"/>
              </w:rPr>
              <w:t xml:space="preserve"> an ongoing system to identify and communicate research needs of the Aboriginal and Torres Strait Islander health sector </w:t>
            </w:r>
          </w:p>
          <w:p w14:paraId="66E6CBA0"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b/>
                <w:bCs/>
              </w:rPr>
              <w:t>Co-design</w:t>
            </w:r>
            <w:r w:rsidRPr="005B2096">
              <w:rPr>
                <w:rFonts w:ascii="Calibri Light" w:hAnsi="Calibri Light" w:cs="Calibri Light"/>
              </w:rPr>
              <w:t xml:space="preserve"> avenues for funding community research priorities with potential funding agencies such as Medical Research Future Fund and the National Health &amp; Medical Research Council, academic partners and stakeholders</w:t>
            </w:r>
          </w:p>
          <w:p w14:paraId="3F1EB3EF"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b/>
                <w:bCs/>
              </w:rPr>
              <w:lastRenderedPageBreak/>
              <w:t>Develop</w:t>
            </w:r>
            <w:r w:rsidRPr="005B2096">
              <w:rPr>
                <w:rFonts w:ascii="Calibri Light" w:hAnsi="Calibri Light" w:cs="Calibri Light"/>
              </w:rPr>
              <w:t xml:space="preserve"> funding criteria, data sovereignty and knowledge transfer requirements to ensure high quality research is supported with capacity growth in the Aboriginal and Torres Strait Islander community-controlled health sector for Aboriginal and Torres Strait Islander researchers</w:t>
            </w:r>
          </w:p>
        </w:tc>
        <w:tc>
          <w:tcPr>
            <w:tcW w:w="1873" w:type="dxa"/>
            <w:shd w:val="clear" w:color="auto" w:fill="auto"/>
          </w:tcPr>
          <w:p w14:paraId="17E9A680" w14:textId="77777777" w:rsidR="006B16D2" w:rsidRPr="005B2096" w:rsidRDefault="006B16D2" w:rsidP="002D2CE0">
            <w:pPr>
              <w:spacing w:before="0" w:after="120"/>
              <w:rPr>
                <w:rFonts w:ascii="Calibri Light" w:hAnsi="Calibri Light" w:cs="Calibri Light"/>
                <w:color w:val="000000" w:themeColor="text1"/>
              </w:rPr>
            </w:pPr>
            <w:r w:rsidRPr="005B2096">
              <w:rPr>
                <w:rFonts w:ascii="Calibri Light" w:hAnsi="Calibri Light" w:cs="Calibri Light"/>
                <w:color w:val="000000" w:themeColor="text1"/>
              </w:rPr>
              <w:lastRenderedPageBreak/>
              <w:t>NACCHO</w:t>
            </w:r>
          </w:p>
          <w:p w14:paraId="79A54BB2" w14:textId="77777777" w:rsidR="006B16D2" w:rsidRPr="005B2096" w:rsidRDefault="006B16D2" w:rsidP="002D2CE0">
            <w:pPr>
              <w:spacing w:before="0" w:after="120"/>
              <w:rPr>
                <w:rFonts w:ascii="Calibri Light" w:hAnsi="Calibri Light" w:cs="Calibri Light"/>
                <w:color w:val="000000" w:themeColor="text1"/>
              </w:rPr>
            </w:pPr>
          </w:p>
          <w:p w14:paraId="5555EBA4" w14:textId="77777777" w:rsidR="006B16D2" w:rsidRPr="005B2096" w:rsidRDefault="006B16D2" w:rsidP="002D2CE0">
            <w:pPr>
              <w:spacing w:before="0" w:after="120"/>
              <w:rPr>
                <w:rFonts w:ascii="Calibri Light" w:hAnsi="Calibri Light" w:cs="Calibri Light"/>
                <w:color w:val="000000" w:themeColor="text1"/>
              </w:rPr>
            </w:pPr>
            <w:r w:rsidRPr="005B2096">
              <w:rPr>
                <w:rFonts w:ascii="Calibri Light" w:hAnsi="Calibri Light" w:cs="Calibri Light"/>
                <w:color w:val="000000" w:themeColor="text1"/>
              </w:rPr>
              <w:t>Sector Support Organisations</w:t>
            </w:r>
          </w:p>
          <w:p w14:paraId="5C3DD5B5" w14:textId="77777777" w:rsidR="006B16D2" w:rsidRPr="005B2096" w:rsidRDefault="006B16D2" w:rsidP="002D2CE0">
            <w:pPr>
              <w:spacing w:before="0" w:after="120"/>
              <w:rPr>
                <w:rFonts w:ascii="Calibri Light" w:hAnsi="Calibri Light" w:cs="Calibri Light"/>
                <w:color w:val="000000" w:themeColor="text1"/>
              </w:rPr>
            </w:pPr>
          </w:p>
          <w:p w14:paraId="4B3C6682" w14:textId="77777777" w:rsidR="006B16D2" w:rsidRPr="005B2096" w:rsidRDefault="006B16D2" w:rsidP="002D2CE0">
            <w:pPr>
              <w:spacing w:before="0" w:after="120"/>
              <w:rPr>
                <w:rFonts w:ascii="Calibri Light" w:hAnsi="Calibri Light" w:cs="Calibri Light"/>
              </w:rPr>
            </w:pPr>
          </w:p>
        </w:tc>
        <w:tc>
          <w:tcPr>
            <w:tcW w:w="1792" w:type="dxa"/>
            <w:shd w:val="clear" w:color="auto" w:fill="auto"/>
          </w:tcPr>
          <w:p w14:paraId="67355653"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rPr>
              <w:t>To be determined</w:t>
            </w:r>
          </w:p>
        </w:tc>
        <w:tc>
          <w:tcPr>
            <w:tcW w:w="1793" w:type="dxa"/>
            <w:shd w:val="clear" w:color="auto" w:fill="auto"/>
          </w:tcPr>
          <w:p w14:paraId="043DAAD6" w14:textId="77777777" w:rsidR="006B16D2" w:rsidRPr="005B2096" w:rsidRDefault="006B16D2" w:rsidP="002D2CE0">
            <w:pPr>
              <w:spacing w:before="0" w:after="120"/>
              <w:contextualSpacing/>
              <w:rPr>
                <w:rFonts w:ascii="Calibri Light" w:hAnsi="Calibri Light" w:cs="Calibri Light"/>
              </w:rPr>
            </w:pPr>
            <w:r w:rsidRPr="00964CEC">
              <w:rPr>
                <w:rFonts w:ascii="Calibri Light" w:hAnsi="Calibri Light" w:cs="Calibri Light"/>
              </w:rPr>
              <w:t xml:space="preserve">To be determined </w:t>
            </w:r>
          </w:p>
        </w:tc>
      </w:tr>
      <w:tr w:rsidR="006B16D2" w:rsidRPr="005B2096" w14:paraId="46086997" w14:textId="77777777" w:rsidTr="00EB4505">
        <w:tc>
          <w:tcPr>
            <w:tcW w:w="581" w:type="dxa"/>
          </w:tcPr>
          <w:p w14:paraId="51F33076"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rPr>
              <w:t>A13</w:t>
            </w:r>
          </w:p>
        </w:tc>
        <w:tc>
          <w:tcPr>
            <w:tcW w:w="3971" w:type="dxa"/>
          </w:tcPr>
          <w:p w14:paraId="799701D8"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b/>
                <w:bCs/>
                <w:color w:val="000000" w:themeColor="text1"/>
                <w:lang w:val="en-US"/>
              </w:rPr>
              <w:t>Leverage</w:t>
            </w:r>
            <w:r w:rsidRPr="005B2096">
              <w:rPr>
                <w:rFonts w:ascii="Calibri Light" w:hAnsi="Calibri Light" w:cs="Calibri Light"/>
                <w:color w:val="000000" w:themeColor="text1"/>
                <w:lang w:val="en-US"/>
              </w:rPr>
              <w:t xml:space="preserve"> buying power and economies of scale in the</w:t>
            </w:r>
            <w:r w:rsidRPr="005B2096">
              <w:rPr>
                <w:rFonts w:ascii="Calibri Light" w:hAnsi="Calibri Light" w:cs="Calibri Light"/>
                <w:color w:val="000000" w:themeColor="text1"/>
              </w:rPr>
              <w:t xml:space="preserve"> Aboriginal and Torres Strait Islander community-controlled health</w:t>
            </w:r>
            <w:r w:rsidRPr="005B2096">
              <w:rPr>
                <w:rFonts w:ascii="Calibri Light" w:hAnsi="Calibri Light" w:cs="Calibri Light"/>
                <w:color w:val="000000" w:themeColor="text1"/>
                <w:lang w:val="en-US"/>
              </w:rPr>
              <w:t xml:space="preserve"> sector nationally with minimum procurement targets to increase purchases /contracts from Aboriginal and Torres Strait Islander businesses and enterprises </w:t>
            </w:r>
            <w:r w:rsidRPr="005B2096">
              <w:rPr>
                <w:rFonts w:ascii="Calibri Light" w:hAnsi="Calibri Light" w:cs="Calibri Light"/>
                <w:lang w:val="en-US"/>
              </w:rPr>
              <w:t>which train and employ</w:t>
            </w:r>
            <w:r w:rsidRPr="005B2096">
              <w:rPr>
                <w:rFonts w:ascii="Calibri Light" w:hAnsi="Calibri Light" w:cs="Calibri Light"/>
                <w:color w:val="000000" w:themeColor="text1"/>
                <w:lang w:val="en-US"/>
              </w:rPr>
              <w:t xml:space="preserve"> Aboriginal and Torres Strait Islander people.</w:t>
            </w:r>
          </w:p>
        </w:tc>
        <w:tc>
          <w:tcPr>
            <w:tcW w:w="4040" w:type="dxa"/>
          </w:tcPr>
          <w:p w14:paraId="312EB9A6" w14:textId="77777777" w:rsidR="006B16D2" w:rsidRPr="005B2096" w:rsidRDefault="006B16D2" w:rsidP="002D2CE0">
            <w:pPr>
              <w:spacing w:before="0" w:after="120"/>
              <w:rPr>
                <w:rFonts w:ascii="Calibri Light" w:hAnsi="Calibri Light" w:cs="Calibri Light"/>
                <w:color w:val="000000" w:themeColor="text1"/>
              </w:rPr>
            </w:pPr>
            <w:r w:rsidRPr="005B2096">
              <w:rPr>
                <w:rFonts w:ascii="Calibri Light" w:hAnsi="Calibri Light" w:cs="Calibri Light"/>
                <w:b/>
                <w:bCs/>
                <w:color w:val="000000" w:themeColor="text1"/>
              </w:rPr>
              <w:t>Analyse</w:t>
            </w:r>
            <w:r w:rsidRPr="005B2096">
              <w:rPr>
                <w:rFonts w:ascii="Calibri Light" w:hAnsi="Calibri Light" w:cs="Calibri Light"/>
                <w:color w:val="000000" w:themeColor="text1"/>
              </w:rPr>
              <w:t xml:space="preserve"> opportunities to enhance purchasing power and deliver economies of scale across the Aboriginal and Torres Strait Islander community-controlled health sector such as a business case for a remote locum agency and bulk purchases of insurance and indemnity policies, equipment and consumable supplies, vehicles and fleet management</w:t>
            </w:r>
          </w:p>
          <w:p w14:paraId="6894EAA5" w14:textId="77777777" w:rsidR="006B16D2" w:rsidRPr="005B2096" w:rsidRDefault="006B16D2" w:rsidP="002D2CE0">
            <w:pPr>
              <w:spacing w:before="0" w:after="120"/>
              <w:rPr>
                <w:rFonts w:ascii="Calibri Light" w:hAnsi="Calibri Light" w:cs="Calibri Light"/>
                <w:color w:val="000000" w:themeColor="text1"/>
              </w:rPr>
            </w:pPr>
            <w:r w:rsidRPr="005B2096">
              <w:rPr>
                <w:rFonts w:ascii="Calibri Light" w:hAnsi="Calibri Light" w:cs="Calibri Light"/>
                <w:b/>
                <w:bCs/>
                <w:color w:val="000000" w:themeColor="text1"/>
              </w:rPr>
              <w:t>Respond</w:t>
            </w:r>
            <w:r w:rsidRPr="005B2096">
              <w:rPr>
                <w:rFonts w:ascii="Calibri Light" w:hAnsi="Calibri Light" w:cs="Calibri Light"/>
                <w:color w:val="000000" w:themeColor="text1"/>
              </w:rPr>
              <w:t xml:space="preserve"> through consultation and support of the Aboriginal and Torres Strait Islander community-controlled health sector to practical opportunities with agreed cost-benefit</w:t>
            </w:r>
          </w:p>
        </w:tc>
        <w:tc>
          <w:tcPr>
            <w:tcW w:w="1873" w:type="dxa"/>
            <w:shd w:val="clear" w:color="auto" w:fill="auto"/>
          </w:tcPr>
          <w:p w14:paraId="33FAB7E0"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rPr>
              <w:t xml:space="preserve">NACCHO </w:t>
            </w:r>
          </w:p>
          <w:p w14:paraId="346CD07C" w14:textId="77777777" w:rsidR="006B16D2" w:rsidRPr="005B2096" w:rsidRDefault="006B16D2" w:rsidP="002D2CE0">
            <w:pPr>
              <w:spacing w:before="0" w:after="120"/>
              <w:rPr>
                <w:rFonts w:ascii="Calibri Light" w:hAnsi="Calibri Light" w:cs="Calibri Light"/>
              </w:rPr>
            </w:pPr>
          </w:p>
          <w:p w14:paraId="4D870328"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rPr>
              <w:t>Sector Support Organisations</w:t>
            </w:r>
          </w:p>
        </w:tc>
        <w:tc>
          <w:tcPr>
            <w:tcW w:w="1792" w:type="dxa"/>
            <w:shd w:val="clear" w:color="auto" w:fill="auto"/>
          </w:tcPr>
          <w:p w14:paraId="4F90F4C4"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rPr>
              <w:t>To be determined</w:t>
            </w:r>
          </w:p>
        </w:tc>
        <w:tc>
          <w:tcPr>
            <w:tcW w:w="1793" w:type="dxa"/>
            <w:shd w:val="clear" w:color="auto" w:fill="auto"/>
          </w:tcPr>
          <w:p w14:paraId="070AD7E0" w14:textId="77777777" w:rsidR="006B16D2" w:rsidRPr="005B2096" w:rsidRDefault="006B16D2" w:rsidP="002D2CE0">
            <w:pPr>
              <w:spacing w:before="0" w:after="120"/>
              <w:contextualSpacing/>
              <w:rPr>
                <w:rFonts w:ascii="Calibri Light" w:hAnsi="Calibri Light" w:cs="Calibri Light"/>
              </w:rPr>
            </w:pPr>
            <w:r w:rsidRPr="00964CEC">
              <w:rPr>
                <w:rFonts w:ascii="Calibri Light" w:hAnsi="Calibri Light" w:cs="Calibri Light"/>
              </w:rPr>
              <w:t xml:space="preserve">To be determined </w:t>
            </w:r>
          </w:p>
        </w:tc>
      </w:tr>
      <w:tr w:rsidR="006B16D2" w:rsidRPr="005B2096" w14:paraId="548BC569" w14:textId="77777777" w:rsidTr="00EB4505">
        <w:tc>
          <w:tcPr>
            <w:tcW w:w="581" w:type="dxa"/>
          </w:tcPr>
          <w:p w14:paraId="4BC7AF0E"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rPr>
              <w:t>A14</w:t>
            </w:r>
          </w:p>
        </w:tc>
        <w:tc>
          <w:tcPr>
            <w:tcW w:w="3971" w:type="dxa"/>
          </w:tcPr>
          <w:p w14:paraId="469386D3" w14:textId="77777777" w:rsidR="006B16D2" w:rsidRPr="005B2096" w:rsidRDefault="006B16D2" w:rsidP="002D2CE0">
            <w:pPr>
              <w:spacing w:before="0" w:after="120"/>
              <w:rPr>
                <w:rFonts w:ascii="Calibri Light" w:hAnsi="Calibri Light" w:cs="Calibri Light"/>
                <w:lang w:val="en-US"/>
              </w:rPr>
            </w:pPr>
            <w:r w:rsidRPr="005B2096">
              <w:rPr>
                <w:rFonts w:ascii="Calibri Light" w:hAnsi="Calibri Light" w:cs="Calibri Light"/>
                <w:b/>
                <w:bCs/>
                <w:lang w:val="en-US"/>
              </w:rPr>
              <w:t>Fund</w:t>
            </w:r>
            <w:r w:rsidRPr="005B2096">
              <w:rPr>
                <w:rFonts w:ascii="Calibri Light" w:hAnsi="Calibri Light" w:cs="Calibri Light"/>
                <w:lang w:val="en-US"/>
              </w:rPr>
              <w:t xml:space="preserve"> health workforce leadership development programs and initiatives for Aboriginal and Torres Strait Islander staff working in or aspiring to work in the </w:t>
            </w:r>
            <w:r w:rsidRPr="005B2096">
              <w:rPr>
                <w:rFonts w:ascii="Calibri Light" w:hAnsi="Calibri Light" w:cs="Calibri Light"/>
              </w:rPr>
              <w:t xml:space="preserve">Aboriginal and Torres Strait Islander </w:t>
            </w:r>
            <w:r w:rsidRPr="005B2096">
              <w:rPr>
                <w:rFonts w:ascii="Calibri Light" w:hAnsi="Calibri Light" w:cs="Calibri Light"/>
                <w:lang w:val="en-US"/>
              </w:rPr>
              <w:t>community-controlled health sector to maximize service impact and health outcomes</w:t>
            </w:r>
          </w:p>
        </w:tc>
        <w:tc>
          <w:tcPr>
            <w:tcW w:w="4040" w:type="dxa"/>
          </w:tcPr>
          <w:p w14:paraId="24A82538"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b/>
                <w:bCs/>
              </w:rPr>
              <w:t>Develop</w:t>
            </w:r>
            <w:r w:rsidRPr="005B2096">
              <w:rPr>
                <w:rFonts w:ascii="Calibri Light" w:hAnsi="Calibri Light" w:cs="Calibri Light"/>
              </w:rPr>
              <w:t xml:space="preserve"> a national health workforce leadership program to deepen leadership learning and capacity in the Aboriginal and Torres Strait Islander community-controlled health sector</w:t>
            </w:r>
          </w:p>
          <w:p w14:paraId="61A8A3A4" w14:textId="77777777" w:rsidR="006B16D2" w:rsidRPr="005B2096" w:rsidRDefault="006B16D2" w:rsidP="002D2CE0">
            <w:pPr>
              <w:spacing w:before="0" w:after="120"/>
              <w:rPr>
                <w:rFonts w:ascii="Calibri Light" w:hAnsi="Calibri Light" w:cs="Calibri Light"/>
                <w:lang w:val="en-US"/>
              </w:rPr>
            </w:pPr>
            <w:r w:rsidRPr="005B2096">
              <w:rPr>
                <w:rFonts w:ascii="Calibri Light" w:hAnsi="Calibri Light" w:cs="Calibri Light"/>
                <w:b/>
                <w:bCs/>
              </w:rPr>
              <w:t>Develop</w:t>
            </w:r>
            <w:r w:rsidRPr="005B2096">
              <w:rPr>
                <w:rFonts w:ascii="Calibri Light" w:hAnsi="Calibri Light" w:cs="Calibri Light"/>
              </w:rPr>
              <w:t xml:space="preserve"> </w:t>
            </w:r>
            <w:r w:rsidRPr="005B2096">
              <w:rPr>
                <w:rFonts w:ascii="Calibri Light" w:hAnsi="Calibri Light" w:cs="Calibri Light"/>
                <w:lang w:val="en-US"/>
              </w:rPr>
              <w:t>executive training opportunities to strengthen Chief Executive Officer (CEO) succession planning</w:t>
            </w:r>
          </w:p>
          <w:p w14:paraId="1D9AC3AA" w14:textId="77777777" w:rsidR="006B16D2" w:rsidRPr="005B2096" w:rsidRDefault="006B16D2" w:rsidP="002D2CE0">
            <w:pPr>
              <w:spacing w:before="0" w:after="120"/>
              <w:rPr>
                <w:rFonts w:ascii="Calibri Light" w:hAnsi="Calibri Light" w:cs="Calibri Light"/>
                <w:lang w:val="en-US"/>
              </w:rPr>
            </w:pPr>
            <w:r w:rsidRPr="005B2096">
              <w:rPr>
                <w:rFonts w:ascii="Calibri Light" w:hAnsi="Calibri Light" w:cs="Calibri Light"/>
                <w:b/>
                <w:bCs/>
                <w:lang w:val="en-US"/>
              </w:rPr>
              <w:lastRenderedPageBreak/>
              <w:t>Develop</w:t>
            </w:r>
            <w:r w:rsidRPr="005B2096">
              <w:rPr>
                <w:rFonts w:ascii="Calibri Light" w:hAnsi="Calibri Light" w:cs="Calibri Light"/>
                <w:lang w:val="en-US"/>
              </w:rPr>
              <w:t xml:space="preserve"> resources for CEO independent performance reviews tailored to service size and scope, </w:t>
            </w:r>
          </w:p>
          <w:p w14:paraId="5551189D"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b/>
                <w:bCs/>
                <w:lang w:val="en-US"/>
              </w:rPr>
              <w:t>Support</w:t>
            </w:r>
            <w:r w:rsidRPr="005B2096">
              <w:rPr>
                <w:rFonts w:ascii="Calibri Light" w:hAnsi="Calibri Light" w:cs="Calibri Light"/>
                <w:lang w:val="en-US"/>
              </w:rPr>
              <w:t xml:space="preserve"> youth leadership initiatives</w:t>
            </w:r>
          </w:p>
        </w:tc>
        <w:tc>
          <w:tcPr>
            <w:tcW w:w="1873" w:type="dxa"/>
            <w:shd w:val="clear" w:color="auto" w:fill="auto"/>
          </w:tcPr>
          <w:p w14:paraId="232A204B"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rPr>
              <w:lastRenderedPageBreak/>
              <w:t>NACCHO</w:t>
            </w:r>
          </w:p>
        </w:tc>
        <w:tc>
          <w:tcPr>
            <w:tcW w:w="1792" w:type="dxa"/>
            <w:shd w:val="clear" w:color="auto" w:fill="auto"/>
          </w:tcPr>
          <w:p w14:paraId="2225AE3F"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rPr>
              <w:t>To be determined</w:t>
            </w:r>
          </w:p>
        </w:tc>
        <w:tc>
          <w:tcPr>
            <w:tcW w:w="1793" w:type="dxa"/>
            <w:shd w:val="clear" w:color="auto" w:fill="auto"/>
          </w:tcPr>
          <w:p w14:paraId="1A9A67ED"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rPr>
              <w:t>Year 1</w:t>
            </w:r>
          </w:p>
          <w:p w14:paraId="3091BC0D"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rPr>
              <w:t>Curriculum developed through co-design and extensive consultation</w:t>
            </w:r>
          </w:p>
          <w:p w14:paraId="61E8071A"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rPr>
              <w:lastRenderedPageBreak/>
              <w:t>Year 2</w:t>
            </w:r>
          </w:p>
          <w:p w14:paraId="1D655C1F" w14:textId="77777777" w:rsidR="006B16D2" w:rsidRPr="005B2096" w:rsidRDefault="006B16D2" w:rsidP="002D2CE0">
            <w:pPr>
              <w:spacing w:before="0" w:after="120"/>
              <w:rPr>
                <w:rFonts w:ascii="Calibri Light" w:hAnsi="Calibri Light" w:cs="Calibri Light"/>
              </w:rPr>
            </w:pPr>
            <w:r w:rsidRPr="005B2096">
              <w:rPr>
                <w:rFonts w:ascii="Calibri Light" w:hAnsi="Calibri Light" w:cs="Calibri Light"/>
              </w:rPr>
              <w:t xml:space="preserve">Programs and initiatives available </w:t>
            </w:r>
          </w:p>
        </w:tc>
      </w:tr>
    </w:tbl>
    <w:p w14:paraId="7F7E3A63" w14:textId="77777777" w:rsidR="006B16D2" w:rsidRDefault="006B16D2" w:rsidP="006B16D2">
      <w:pPr>
        <w:spacing w:before="120"/>
        <w:rPr>
          <w:rFonts w:ascii="Calibri Light" w:hAnsi="Calibri Light" w:cs="Calibri Light"/>
          <w:sz w:val="16"/>
          <w:szCs w:val="16"/>
        </w:rPr>
      </w:pPr>
      <w:r>
        <w:rPr>
          <w:rFonts w:ascii="Calibri Light" w:hAnsi="Calibri Light" w:cs="Calibri Light"/>
          <w:sz w:val="16"/>
          <w:szCs w:val="16"/>
        </w:rPr>
        <w:lastRenderedPageBreak/>
        <w:t xml:space="preserve">1. </w:t>
      </w:r>
      <w:r w:rsidRPr="006B16D2">
        <w:rPr>
          <w:rFonts w:ascii="Calibri Light" w:hAnsi="Calibri Light" w:cs="Calibri Light"/>
          <w:sz w:val="16"/>
          <w:szCs w:val="16"/>
        </w:rPr>
        <w:t>Commonwealth, state and territory governments implementing their commitments under the National Agreement including their respective jurisdictional Implementation Pla</w:t>
      </w:r>
      <w:r>
        <w:rPr>
          <w:rFonts w:ascii="Calibri Light" w:hAnsi="Calibri Light" w:cs="Calibri Light"/>
          <w:sz w:val="16"/>
          <w:szCs w:val="16"/>
        </w:rPr>
        <w:t>n</w:t>
      </w:r>
    </w:p>
    <w:p w14:paraId="64A53758" w14:textId="5D834A39" w:rsidR="00C44A6E" w:rsidRDefault="00C44A6E" w:rsidP="006B16D2">
      <w:pPr>
        <w:spacing w:before="120"/>
        <w:rPr>
          <w:rFonts w:ascii="Calibri Light" w:hAnsi="Calibri Light" w:cs="Calibri Light"/>
          <w:sz w:val="16"/>
          <w:szCs w:val="16"/>
        </w:rPr>
      </w:pPr>
      <w:r>
        <w:rPr>
          <w:rFonts w:ascii="Calibri Light" w:hAnsi="Calibri Light" w:cs="Calibri Light"/>
          <w:sz w:val="16"/>
          <w:szCs w:val="16"/>
        </w:rPr>
        <w:br w:type="page"/>
      </w:r>
    </w:p>
    <w:p w14:paraId="0057CF59" w14:textId="77777777" w:rsidR="00C44A6E" w:rsidRPr="006B16D2" w:rsidRDefault="00C44A6E" w:rsidP="006B16D2">
      <w:pPr>
        <w:spacing w:before="120"/>
        <w:rPr>
          <w:rFonts w:ascii="Calibri Light" w:hAnsi="Calibri Light" w:cs="Calibri Light"/>
          <w:sz w:val="16"/>
          <w:szCs w:val="16"/>
        </w:rPr>
        <w:sectPr w:rsidR="00C44A6E" w:rsidRPr="006B16D2" w:rsidSect="00C44A6E">
          <w:pgSz w:w="16840" w:h="11901" w:orient="landscape" w:code="8"/>
          <w:pgMar w:top="1440" w:right="1440" w:bottom="1440" w:left="1440" w:header="709" w:footer="709" w:gutter="0"/>
          <w:cols w:space="708"/>
          <w:docGrid w:linePitch="360"/>
        </w:sectPr>
      </w:pPr>
    </w:p>
    <w:p w14:paraId="14E499EE" w14:textId="42600F8B" w:rsidR="00CE1B37" w:rsidRDefault="005D5FDE" w:rsidP="00036CD7">
      <w:pPr>
        <w:pStyle w:val="h3"/>
      </w:pPr>
      <w:bookmarkStart w:id="52" w:name="_Toc79523349"/>
      <w:bookmarkStart w:id="53" w:name="_Toc86928767"/>
      <w:bookmarkStart w:id="54" w:name="_Toc86929274"/>
      <w:bookmarkStart w:id="55" w:name="_Toc88818205"/>
      <w:r w:rsidRPr="006B16D2">
        <w:lastRenderedPageBreak/>
        <w:t>Governance</w:t>
      </w:r>
      <w:bookmarkEnd w:id="52"/>
      <w:bookmarkEnd w:id="53"/>
      <w:bookmarkEnd w:id="54"/>
      <w:bookmarkEnd w:id="55"/>
    </w:p>
    <w:p w14:paraId="123CD7D2" w14:textId="69D3575A" w:rsidR="00AE7D90" w:rsidRPr="005B2096" w:rsidRDefault="00AE7D90" w:rsidP="005956DA">
      <w:pPr>
        <w:spacing w:after="120" w:line="240" w:lineRule="auto"/>
        <w:ind w:right="352"/>
        <w:rPr>
          <w:rFonts w:ascii="Calibri Light" w:hAnsi="Calibri Light" w:cs="Calibri Light"/>
          <w:b/>
          <w:bCs/>
          <w:color w:val="000090"/>
          <w:lang w:val="en-US"/>
        </w:rPr>
      </w:pPr>
      <w:r w:rsidRPr="005B2096">
        <w:rPr>
          <w:rFonts w:ascii="Calibri Light" w:hAnsi="Calibri Light" w:cs="Calibri Light"/>
          <w:b/>
          <w:bCs/>
          <w:color w:val="000090"/>
        </w:rPr>
        <w:t>OUTCOME:</w:t>
      </w:r>
      <w:r w:rsidRPr="005B2096">
        <w:rPr>
          <w:rFonts w:ascii="Calibri Light" w:hAnsi="Calibri Light" w:cs="Calibri Light"/>
          <w:b/>
          <w:bCs/>
          <w:color w:val="000090"/>
          <w:lang w:val="en-US"/>
        </w:rPr>
        <w:t xml:space="preserve"> The Aboriginal and Torres Strait Islander community-controlled health sector meets the highest standards of corporate, fiduciary and clinical governance.</w:t>
      </w:r>
    </w:p>
    <w:tbl>
      <w:tblPr>
        <w:tblStyle w:val="TableGrid"/>
        <w:tblW w:w="0" w:type="auto"/>
        <w:tblLook w:val="04A0" w:firstRow="1" w:lastRow="0" w:firstColumn="1" w:lastColumn="0" w:noHBand="0" w:noVBand="1"/>
        <w:tblCaption w:val="Action Table - Governance"/>
        <w:tblDescription w:val="A table with columns for actions, description, responsibiltiies, resources adn timelines for outcome - The Aboriginal and Torres Strait Islander community-controlled health sector meets the highest standards of corporate, fiduciary and clinical governance."/>
      </w:tblPr>
      <w:tblGrid>
        <w:gridCol w:w="566"/>
        <w:gridCol w:w="3686"/>
        <w:gridCol w:w="4320"/>
        <w:gridCol w:w="1792"/>
        <w:gridCol w:w="1791"/>
        <w:gridCol w:w="1793"/>
      </w:tblGrid>
      <w:tr w:rsidR="00AE7D90" w:rsidRPr="005B2096" w14:paraId="50EA0A41" w14:textId="77777777" w:rsidTr="00AB08AC">
        <w:trPr>
          <w:tblHeader/>
        </w:trPr>
        <w:tc>
          <w:tcPr>
            <w:tcW w:w="567" w:type="dxa"/>
            <w:shd w:val="clear" w:color="auto" w:fill="D9E2F3" w:themeFill="accent1" w:themeFillTint="33"/>
          </w:tcPr>
          <w:p w14:paraId="433052D4" w14:textId="77777777" w:rsidR="00AE7D90" w:rsidRPr="005B2096" w:rsidRDefault="00AE7D90" w:rsidP="00AB08AC">
            <w:pPr>
              <w:spacing w:after="120"/>
              <w:rPr>
                <w:rFonts w:ascii="Calibri Light" w:hAnsi="Calibri Light" w:cs="Calibri Light"/>
                <w:b/>
                <w:bCs/>
              </w:rPr>
            </w:pPr>
            <w:r w:rsidRPr="005B2096">
              <w:rPr>
                <w:rFonts w:ascii="Calibri Light" w:hAnsi="Calibri Light" w:cs="Calibri Light"/>
                <w:b/>
                <w:bCs/>
              </w:rPr>
              <w:t>No.</w:t>
            </w:r>
          </w:p>
        </w:tc>
        <w:tc>
          <w:tcPr>
            <w:tcW w:w="3688" w:type="dxa"/>
            <w:shd w:val="clear" w:color="auto" w:fill="D9E2F3" w:themeFill="accent1" w:themeFillTint="33"/>
          </w:tcPr>
          <w:p w14:paraId="2FE66A0E" w14:textId="77777777" w:rsidR="00AE7D90" w:rsidRPr="005B2096" w:rsidRDefault="00AE7D90" w:rsidP="00AB08AC">
            <w:pPr>
              <w:spacing w:after="120"/>
              <w:rPr>
                <w:rFonts w:ascii="Calibri Light" w:hAnsi="Calibri Light" w:cs="Calibri Light"/>
                <w:b/>
                <w:bCs/>
              </w:rPr>
            </w:pPr>
            <w:r w:rsidRPr="005B2096">
              <w:rPr>
                <w:rFonts w:ascii="Calibri Light" w:hAnsi="Calibri Light" w:cs="Calibri Light"/>
                <w:b/>
                <w:bCs/>
              </w:rPr>
              <w:t>ACTION</w:t>
            </w:r>
          </w:p>
        </w:tc>
        <w:tc>
          <w:tcPr>
            <w:tcW w:w="4323" w:type="dxa"/>
            <w:shd w:val="clear" w:color="auto" w:fill="D9E2F3" w:themeFill="accent1" w:themeFillTint="33"/>
          </w:tcPr>
          <w:p w14:paraId="357F692A" w14:textId="77777777" w:rsidR="00AE7D90" w:rsidRPr="005B2096" w:rsidRDefault="00AE7D90" w:rsidP="00AB08AC">
            <w:pPr>
              <w:spacing w:after="120"/>
              <w:rPr>
                <w:rFonts w:ascii="Calibri Light" w:hAnsi="Calibri Light" w:cs="Calibri Light"/>
                <w:b/>
                <w:bCs/>
              </w:rPr>
            </w:pPr>
            <w:r w:rsidRPr="005B2096">
              <w:rPr>
                <w:rFonts w:ascii="Calibri Light" w:hAnsi="Calibri Light" w:cs="Calibri Light"/>
                <w:b/>
                <w:bCs/>
              </w:rPr>
              <w:t>Description</w:t>
            </w:r>
          </w:p>
        </w:tc>
        <w:tc>
          <w:tcPr>
            <w:tcW w:w="1792" w:type="dxa"/>
            <w:tcBorders>
              <w:bottom w:val="single" w:sz="4" w:space="0" w:color="auto"/>
            </w:tcBorders>
            <w:shd w:val="clear" w:color="auto" w:fill="D9E2F3" w:themeFill="accent1" w:themeFillTint="33"/>
          </w:tcPr>
          <w:p w14:paraId="73F22E12" w14:textId="77777777" w:rsidR="00AE7D90" w:rsidRPr="005B2096" w:rsidRDefault="00AE7D90" w:rsidP="00AB08AC">
            <w:pPr>
              <w:spacing w:after="120"/>
              <w:rPr>
                <w:rFonts w:ascii="Calibri Light" w:hAnsi="Calibri Light" w:cs="Calibri Light"/>
                <w:b/>
                <w:bCs/>
              </w:rPr>
            </w:pPr>
            <w:r w:rsidRPr="005B2096">
              <w:rPr>
                <w:rFonts w:ascii="Calibri Light" w:hAnsi="Calibri Light" w:cs="Calibri Light"/>
                <w:b/>
                <w:bCs/>
              </w:rPr>
              <w:t>Responsibilities</w:t>
            </w:r>
          </w:p>
        </w:tc>
        <w:tc>
          <w:tcPr>
            <w:tcW w:w="1792" w:type="dxa"/>
            <w:tcBorders>
              <w:bottom w:val="single" w:sz="4" w:space="0" w:color="auto"/>
            </w:tcBorders>
            <w:shd w:val="clear" w:color="auto" w:fill="D9E2F3" w:themeFill="accent1" w:themeFillTint="33"/>
          </w:tcPr>
          <w:p w14:paraId="2CDE6320" w14:textId="77777777" w:rsidR="00AE7D90" w:rsidRPr="005B2096" w:rsidRDefault="00AE7D90" w:rsidP="00AB08AC">
            <w:pPr>
              <w:spacing w:after="120"/>
              <w:rPr>
                <w:rFonts w:ascii="Calibri Light" w:hAnsi="Calibri Light" w:cs="Calibri Light"/>
                <w:b/>
                <w:bCs/>
              </w:rPr>
            </w:pPr>
            <w:r w:rsidRPr="005B2096">
              <w:rPr>
                <w:rFonts w:ascii="Calibri Light" w:hAnsi="Calibri Light" w:cs="Calibri Light"/>
                <w:b/>
                <w:bCs/>
              </w:rPr>
              <w:t>Resources</w:t>
            </w:r>
          </w:p>
        </w:tc>
        <w:tc>
          <w:tcPr>
            <w:tcW w:w="1793" w:type="dxa"/>
            <w:tcBorders>
              <w:bottom w:val="single" w:sz="4" w:space="0" w:color="auto"/>
            </w:tcBorders>
            <w:shd w:val="clear" w:color="auto" w:fill="D9E2F3" w:themeFill="accent1" w:themeFillTint="33"/>
          </w:tcPr>
          <w:p w14:paraId="6A8D7C64" w14:textId="77777777" w:rsidR="00AE7D90" w:rsidRPr="005B2096" w:rsidRDefault="00AE7D90" w:rsidP="00AB08AC">
            <w:pPr>
              <w:spacing w:after="120"/>
              <w:rPr>
                <w:rFonts w:ascii="Calibri Light" w:hAnsi="Calibri Light" w:cs="Calibri Light"/>
                <w:b/>
                <w:bCs/>
              </w:rPr>
            </w:pPr>
            <w:r w:rsidRPr="005B2096">
              <w:rPr>
                <w:rFonts w:ascii="Calibri Light" w:hAnsi="Calibri Light" w:cs="Calibri Light"/>
                <w:b/>
                <w:bCs/>
              </w:rPr>
              <w:t>Timelines</w:t>
            </w:r>
          </w:p>
        </w:tc>
      </w:tr>
      <w:tr w:rsidR="00AE7D90" w:rsidRPr="005B2096" w14:paraId="094D3142" w14:textId="77777777" w:rsidTr="00AB08AC">
        <w:tc>
          <w:tcPr>
            <w:tcW w:w="567" w:type="dxa"/>
          </w:tcPr>
          <w:p w14:paraId="3D98381B"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rPr>
              <w:t>A15</w:t>
            </w:r>
          </w:p>
        </w:tc>
        <w:tc>
          <w:tcPr>
            <w:tcW w:w="3688" w:type="dxa"/>
          </w:tcPr>
          <w:p w14:paraId="13AD2B25"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b/>
                <w:bCs/>
                <w:color w:val="000000" w:themeColor="text1"/>
                <w:lang w:val="en-US"/>
              </w:rPr>
              <w:t>Transition</w:t>
            </w:r>
            <w:r w:rsidRPr="005B2096">
              <w:rPr>
                <w:rFonts w:ascii="Calibri Light" w:hAnsi="Calibri Light" w:cs="Calibri Light"/>
                <w:color w:val="000000" w:themeColor="text1"/>
                <w:lang w:val="en-US"/>
              </w:rPr>
              <w:t xml:space="preserve"> government-managed primary </w:t>
            </w:r>
            <w:r w:rsidRPr="00964CEC">
              <w:rPr>
                <w:rFonts w:ascii="Calibri Light" w:hAnsi="Calibri Light" w:cs="Calibri Light"/>
                <w:color w:val="000000" w:themeColor="text1"/>
                <w:lang w:val="en-US"/>
              </w:rPr>
              <w:t>health clinics in Queensland, Northern Territory and Western Australia to community-controlled comprehensive primary health care services, and identify locations in all jurisdictions where new community-controlled primary health care services are required to meet the needs of Aboriginal and Torres Strait Islander people.</w:t>
            </w:r>
          </w:p>
        </w:tc>
        <w:tc>
          <w:tcPr>
            <w:tcW w:w="4323" w:type="dxa"/>
          </w:tcPr>
          <w:p w14:paraId="755CDAEB" w14:textId="77777777" w:rsidR="00AE7D90" w:rsidRPr="005B2096" w:rsidRDefault="00AE7D90" w:rsidP="002D2CE0">
            <w:pPr>
              <w:spacing w:before="0" w:after="120"/>
              <w:rPr>
                <w:rFonts w:ascii="Calibri Light" w:hAnsi="Calibri Light" w:cs="Calibri Light"/>
              </w:rPr>
            </w:pPr>
            <w:r w:rsidRPr="009E5DD8">
              <w:rPr>
                <w:rFonts w:ascii="Calibri Light" w:hAnsi="Calibri Light" w:cs="Calibri Light"/>
                <w:b/>
                <w:bCs/>
              </w:rPr>
              <w:t>Establish</w:t>
            </w:r>
            <w:r w:rsidRPr="005B2096">
              <w:rPr>
                <w:rFonts w:ascii="Calibri Light" w:hAnsi="Calibri Light" w:cs="Calibri Light"/>
              </w:rPr>
              <w:t xml:space="preserve"> a collaborative timeline to transition government-managed primary health clinics to community-controlled primary health care </w:t>
            </w:r>
          </w:p>
          <w:p w14:paraId="06475738" w14:textId="77777777" w:rsidR="00AE7D90" w:rsidRPr="005B2096" w:rsidRDefault="00AE7D90" w:rsidP="002D2CE0">
            <w:pPr>
              <w:spacing w:before="0" w:after="120"/>
              <w:rPr>
                <w:rFonts w:ascii="Calibri Light" w:hAnsi="Calibri Light" w:cs="Calibri Light"/>
                <w:lang w:val="en-US"/>
              </w:rPr>
            </w:pPr>
            <w:r w:rsidRPr="009E5DD8">
              <w:rPr>
                <w:rFonts w:ascii="Calibri Light" w:hAnsi="Calibri Light" w:cs="Calibri Light"/>
                <w:b/>
                <w:bCs/>
              </w:rPr>
              <w:t xml:space="preserve">Identify </w:t>
            </w:r>
            <w:r>
              <w:rPr>
                <w:rFonts w:ascii="Calibri Light" w:hAnsi="Calibri Light" w:cs="Calibri Light"/>
                <w:b/>
                <w:bCs/>
              </w:rPr>
              <w:t xml:space="preserve">and </w:t>
            </w:r>
            <w:r w:rsidRPr="009E5DD8">
              <w:rPr>
                <w:rFonts w:ascii="Calibri Light" w:hAnsi="Calibri Light" w:cs="Calibri Light"/>
                <w:b/>
                <w:bCs/>
              </w:rPr>
              <w:t>address</w:t>
            </w:r>
            <w:r w:rsidRPr="005B2096">
              <w:rPr>
                <w:rFonts w:ascii="Calibri Light" w:hAnsi="Calibri Light" w:cs="Calibri Light"/>
              </w:rPr>
              <w:t xml:space="preserve"> barriers, success factors and common support requirements, and develop where required a n</w:t>
            </w:r>
            <w:proofErr w:type="spellStart"/>
            <w:r w:rsidRPr="005B2096">
              <w:rPr>
                <w:rFonts w:ascii="Calibri Light" w:hAnsi="Calibri Light" w:cs="Calibri Light"/>
                <w:lang w:val="en-US"/>
              </w:rPr>
              <w:t>ational</w:t>
            </w:r>
            <w:proofErr w:type="spellEnd"/>
            <w:r w:rsidRPr="005B2096">
              <w:rPr>
                <w:rFonts w:ascii="Calibri Light" w:hAnsi="Calibri Light" w:cs="Calibri Light"/>
                <w:lang w:val="en-US"/>
              </w:rPr>
              <w:t xml:space="preserve"> framework, readiness criteria and support mechanisms for transition</w:t>
            </w:r>
          </w:p>
          <w:p w14:paraId="79E9BDE8" w14:textId="77777777" w:rsidR="00AE7D90" w:rsidRPr="005B2096" w:rsidRDefault="00AE7D90" w:rsidP="002D2CE0">
            <w:pPr>
              <w:spacing w:before="0" w:after="120"/>
              <w:rPr>
                <w:rFonts w:ascii="Calibri Light" w:hAnsi="Calibri Light" w:cs="Calibri Light"/>
              </w:rPr>
            </w:pPr>
            <w:r w:rsidRPr="009E5DD8">
              <w:rPr>
                <w:rFonts w:ascii="Calibri Light" w:hAnsi="Calibri Light" w:cs="Calibri Light"/>
                <w:b/>
                <w:bCs/>
                <w:lang w:val="en-US"/>
              </w:rPr>
              <w:t>Develop</w:t>
            </w:r>
            <w:r w:rsidRPr="005B2096">
              <w:rPr>
                <w:rFonts w:ascii="Calibri Light" w:hAnsi="Calibri Light" w:cs="Calibri Light"/>
                <w:lang w:val="en-US"/>
              </w:rPr>
              <w:t xml:space="preserve"> a collaborative process to identify and </w:t>
            </w:r>
            <w:proofErr w:type="spellStart"/>
            <w:r w:rsidRPr="005B2096">
              <w:rPr>
                <w:rFonts w:ascii="Calibri Light" w:hAnsi="Calibri Light" w:cs="Calibri Light"/>
                <w:lang w:val="en-US"/>
              </w:rPr>
              <w:t>prioritise</w:t>
            </w:r>
            <w:proofErr w:type="spellEnd"/>
            <w:r w:rsidRPr="005B2096">
              <w:rPr>
                <w:rFonts w:ascii="Calibri Light" w:hAnsi="Calibri Light" w:cs="Calibri Light"/>
                <w:lang w:val="en-US"/>
              </w:rPr>
              <w:t xml:space="preserve"> locations where new community-controlled primary health care services are required  </w:t>
            </w:r>
          </w:p>
          <w:p w14:paraId="172760D3" w14:textId="77777777" w:rsidR="00AE7D90" w:rsidRPr="005B2096" w:rsidRDefault="00AE7D90" w:rsidP="002D2CE0">
            <w:pPr>
              <w:spacing w:before="0" w:after="120"/>
              <w:rPr>
                <w:rFonts w:ascii="Calibri Light" w:hAnsi="Calibri Light" w:cs="Calibri Light"/>
                <w:color w:val="538135" w:themeColor="accent6" w:themeShade="BF"/>
              </w:rPr>
            </w:pPr>
            <w:r w:rsidRPr="009E5DD8">
              <w:rPr>
                <w:rFonts w:ascii="Calibri Light" w:hAnsi="Calibri Light" w:cs="Calibri Light"/>
                <w:b/>
                <w:bCs/>
              </w:rPr>
              <w:t>Develop</w:t>
            </w:r>
            <w:r w:rsidRPr="005B2096">
              <w:rPr>
                <w:rFonts w:ascii="Calibri Light" w:hAnsi="Calibri Light" w:cs="Calibri Light"/>
              </w:rPr>
              <w:t xml:space="preserve"> guidance to support unencumbered handover of physical facilities that are fit-for-purpose from government to community-controlled ownership where required</w:t>
            </w:r>
          </w:p>
        </w:tc>
        <w:tc>
          <w:tcPr>
            <w:tcW w:w="1792" w:type="dxa"/>
            <w:shd w:val="clear" w:color="auto" w:fill="auto"/>
          </w:tcPr>
          <w:p w14:paraId="5CBA35B9"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rPr>
              <w:t xml:space="preserve">Australian Government Department of Health   </w:t>
            </w:r>
          </w:p>
          <w:p w14:paraId="6EABE773" w14:textId="77777777" w:rsidR="00AE7D90" w:rsidRPr="005B2096" w:rsidRDefault="00AE7D90" w:rsidP="002D2CE0">
            <w:pPr>
              <w:spacing w:before="0" w:after="120"/>
              <w:rPr>
                <w:rFonts w:ascii="Calibri Light" w:hAnsi="Calibri Light" w:cs="Calibri Light"/>
              </w:rPr>
            </w:pPr>
          </w:p>
          <w:p w14:paraId="53DB2089"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rPr>
              <w:t>NACCHO</w:t>
            </w:r>
          </w:p>
          <w:p w14:paraId="187C080E" w14:textId="77777777" w:rsidR="00AE7D90" w:rsidRPr="005B2096" w:rsidRDefault="00AE7D90" w:rsidP="002D2CE0">
            <w:pPr>
              <w:spacing w:before="0" w:after="120"/>
              <w:rPr>
                <w:rFonts w:ascii="Calibri Light" w:hAnsi="Calibri Light" w:cs="Calibri Light"/>
              </w:rPr>
            </w:pPr>
          </w:p>
          <w:p w14:paraId="694DC438"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rPr>
              <w:t>Sector Support Organisations</w:t>
            </w:r>
          </w:p>
        </w:tc>
        <w:tc>
          <w:tcPr>
            <w:tcW w:w="1792" w:type="dxa"/>
            <w:shd w:val="clear" w:color="auto" w:fill="auto"/>
          </w:tcPr>
          <w:p w14:paraId="676D8EF4"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rPr>
              <w:t>To be determined</w:t>
            </w:r>
          </w:p>
        </w:tc>
        <w:tc>
          <w:tcPr>
            <w:tcW w:w="1793" w:type="dxa"/>
            <w:shd w:val="clear" w:color="auto" w:fill="auto"/>
          </w:tcPr>
          <w:p w14:paraId="71121515"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rPr>
              <w:t>Year 1</w:t>
            </w:r>
          </w:p>
          <w:p w14:paraId="5DBFBCCA"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rPr>
              <w:t>Timeline released</w:t>
            </w:r>
          </w:p>
          <w:p w14:paraId="1FBA7C75"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rPr>
              <w:t xml:space="preserve">Communities aspiring to community control identified </w:t>
            </w:r>
          </w:p>
          <w:p w14:paraId="50455DA2" w14:textId="77777777" w:rsidR="00AE7D90" w:rsidRPr="005B2096" w:rsidRDefault="00AE7D90" w:rsidP="002D2CE0">
            <w:pPr>
              <w:spacing w:before="0" w:after="120"/>
              <w:rPr>
                <w:rFonts w:ascii="Calibri Light" w:hAnsi="Calibri Light" w:cs="Calibri Light"/>
              </w:rPr>
            </w:pPr>
          </w:p>
          <w:p w14:paraId="1025F47C"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rPr>
              <w:t>Year 2</w:t>
            </w:r>
          </w:p>
          <w:p w14:paraId="1B20EA5A"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rPr>
              <w:t>Transitions commenced as per timeline</w:t>
            </w:r>
          </w:p>
          <w:p w14:paraId="58CB461A" w14:textId="77777777" w:rsidR="00AE7D90" w:rsidRPr="005B2096" w:rsidRDefault="00AE7D90" w:rsidP="002D2CE0">
            <w:pPr>
              <w:spacing w:before="0" w:after="120"/>
              <w:rPr>
                <w:rFonts w:ascii="Calibri Light" w:hAnsi="Calibri Light" w:cs="Calibri Light"/>
                <w:color w:val="538135" w:themeColor="accent6" w:themeShade="BF"/>
              </w:rPr>
            </w:pPr>
            <w:r w:rsidRPr="005B2096">
              <w:rPr>
                <w:rFonts w:ascii="Calibri Light" w:hAnsi="Calibri Light" w:cs="Calibri Light"/>
              </w:rPr>
              <w:t>Criteria released for identifying locations for new services</w:t>
            </w:r>
          </w:p>
        </w:tc>
      </w:tr>
      <w:tr w:rsidR="00AE7D90" w:rsidRPr="005B2096" w14:paraId="59944636" w14:textId="77777777" w:rsidTr="00AB08AC">
        <w:tc>
          <w:tcPr>
            <w:tcW w:w="567" w:type="dxa"/>
          </w:tcPr>
          <w:p w14:paraId="71677456"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rPr>
              <w:t>A16</w:t>
            </w:r>
          </w:p>
        </w:tc>
        <w:tc>
          <w:tcPr>
            <w:tcW w:w="3688" w:type="dxa"/>
          </w:tcPr>
          <w:p w14:paraId="28E6EC66"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b/>
                <w:bCs/>
                <w:color w:val="000000" w:themeColor="text1"/>
                <w:lang w:val="en-US"/>
              </w:rPr>
              <w:t>Fund</w:t>
            </w:r>
            <w:r w:rsidRPr="005B2096">
              <w:rPr>
                <w:rFonts w:ascii="Calibri Light" w:hAnsi="Calibri Light" w:cs="Calibri Light"/>
                <w:color w:val="000000" w:themeColor="text1"/>
                <w:lang w:val="en-US"/>
              </w:rPr>
              <w:t xml:space="preserve"> Board corporate gove</w:t>
            </w:r>
            <w:r>
              <w:rPr>
                <w:rFonts w:ascii="Calibri Light" w:hAnsi="Calibri Light" w:cs="Calibri Light"/>
                <w:color w:val="000000" w:themeColor="text1"/>
                <w:lang w:val="en-US"/>
              </w:rPr>
              <w:t>rnance programs including</w:t>
            </w:r>
            <w:r w:rsidRPr="005B2096">
              <w:rPr>
                <w:rFonts w:ascii="Calibri Light" w:hAnsi="Calibri Light" w:cs="Calibri Light"/>
                <w:color w:val="000000" w:themeColor="text1"/>
                <w:lang w:val="en-US"/>
              </w:rPr>
              <w:t xml:space="preserve"> needs assessment, capability development and support including independent expertise where required for CEO recruitment and essential criteria for CEOs across the</w:t>
            </w:r>
            <w:r w:rsidRPr="005B2096">
              <w:rPr>
                <w:rFonts w:ascii="Calibri Light" w:hAnsi="Calibri Light" w:cs="Calibri Light"/>
                <w:color w:val="000000" w:themeColor="text1"/>
              </w:rPr>
              <w:t xml:space="preserve"> Aboriginal and Torres Strait Islander community-controlled health</w:t>
            </w:r>
            <w:r w:rsidRPr="005B2096">
              <w:rPr>
                <w:rFonts w:ascii="Calibri Light" w:hAnsi="Calibri Light" w:cs="Calibri Light"/>
                <w:color w:val="000000" w:themeColor="text1"/>
                <w:lang w:val="en-US"/>
              </w:rPr>
              <w:t xml:space="preserve"> sector</w:t>
            </w:r>
          </w:p>
        </w:tc>
        <w:tc>
          <w:tcPr>
            <w:tcW w:w="4323" w:type="dxa"/>
          </w:tcPr>
          <w:p w14:paraId="3E07C0EC" w14:textId="77777777" w:rsidR="00AE7D90" w:rsidRPr="005B2096" w:rsidRDefault="00AE7D90" w:rsidP="002D2CE0">
            <w:pPr>
              <w:spacing w:before="0" w:after="120"/>
              <w:rPr>
                <w:rFonts w:ascii="Calibri Light" w:hAnsi="Calibri Light" w:cs="Calibri Light"/>
              </w:rPr>
            </w:pPr>
            <w:r w:rsidRPr="009E5DD8">
              <w:rPr>
                <w:rFonts w:ascii="Calibri Light" w:hAnsi="Calibri Light" w:cs="Calibri Light"/>
                <w:b/>
                <w:bCs/>
              </w:rPr>
              <w:t>Develop</w:t>
            </w:r>
            <w:r w:rsidRPr="005B2096">
              <w:rPr>
                <w:rFonts w:ascii="Calibri Light" w:hAnsi="Calibri Light" w:cs="Calibri Light"/>
              </w:rPr>
              <w:t xml:space="preserve"> a corporate governance program by:</w:t>
            </w:r>
          </w:p>
          <w:p w14:paraId="4A80FC98" w14:textId="77777777" w:rsidR="00AE7D90" w:rsidRPr="005B2096" w:rsidRDefault="00AE7D90" w:rsidP="002D2CE0">
            <w:pPr>
              <w:pStyle w:val="ListParagraph"/>
              <w:numPr>
                <w:ilvl w:val="0"/>
                <w:numId w:val="39"/>
              </w:numPr>
              <w:spacing w:before="0" w:after="120"/>
              <w:contextualSpacing/>
              <w:rPr>
                <w:rFonts w:ascii="Calibri Light" w:hAnsi="Calibri Light" w:cs="Calibri Light"/>
              </w:rPr>
            </w:pPr>
            <w:r w:rsidRPr="005B2096">
              <w:rPr>
                <w:rFonts w:ascii="Calibri Light" w:hAnsi="Calibri Light" w:cs="Calibri Light"/>
              </w:rPr>
              <w:t>assessing gaps and priorities for corporate governance in the Aboriginal and Torres Strait Islander community-controlled health sector</w:t>
            </w:r>
          </w:p>
          <w:p w14:paraId="51672B69" w14:textId="77777777" w:rsidR="00AE7D90" w:rsidRPr="005B2096" w:rsidRDefault="00AE7D90" w:rsidP="002D2CE0">
            <w:pPr>
              <w:pStyle w:val="ListParagraph"/>
              <w:numPr>
                <w:ilvl w:val="0"/>
                <w:numId w:val="39"/>
              </w:numPr>
              <w:spacing w:before="0" w:after="120"/>
              <w:contextualSpacing/>
              <w:rPr>
                <w:rFonts w:ascii="Calibri Light" w:hAnsi="Calibri Light" w:cs="Calibri Light"/>
              </w:rPr>
            </w:pPr>
            <w:r w:rsidRPr="005B2096">
              <w:rPr>
                <w:rFonts w:ascii="Calibri Light" w:hAnsi="Calibri Light" w:cs="Calibri Light"/>
              </w:rPr>
              <w:lastRenderedPageBreak/>
              <w:t>developing resources, guidelines and mentoring options for CEO recruitment and other agreed priorities</w:t>
            </w:r>
          </w:p>
        </w:tc>
        <w:tc>
          <w:tcPr>
            <w:tcW w:w="1792" w:type="dxa"/>
            <w:shd w:val="clear" w:color="auto" w:fill="auto"/>
          </w:tcPr>
          <w:p w14:paraId="7DF92CF6"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rPr>
              <w:lastRenderedPageBreak/>
              <w:t>NACCHO</w:t>
            </w:r>
          </w:p>
          <w:p w14:paraId="5B3EE70E" w14:textId="77777777" w:rsidR="00AE7D90" w:rsidRPr="005B2096" w:rsidRDefault="00AE7D90" w:rsidP="002D2CE0">
            <w:pPr>
              <w:spacing w:before="0" w:after="120"/>
              <w:rPr>
                <w:rFonts w:ascii="Calibri Light" w:hAnsi="Calibri Light" w:cs="Calibri Light"/>
              </w:rPr>
            </w:pPr>
          </w:p>
          <w:p w14:paraId="1732F083"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rPr>
              <w:t>Sector Support Organisations</w:t>
            </w:r>
          </w:p>
        </w:tc>
        <w:tc>
          <w:tcPr>
            <w:tcW w:w="1792" w:type="dxa"/>
            <w:shd w:val="clear" w:color="auto" w:fill="auto"/>
          </w:tcPr>
          <w:p w14:paraId="18417EB3" w14:textId="77777777" w:rsidR="00AE7D90" w:rsidRPr="005B2096" w:rsidRDefault="00AE7D90" w:rsidP="002D2CE0">
            <w:pPr>
              <w:spacing w:before="0" w:after="120"/>
              <w:rPr>
                <w:rFonts w:ascii="Calibri Light" w:hAnsi="Calibri Light" w:cs="Calibri Light"/>
              </w:rPr>
            </w:pPr>
            <w:r w:rsidRPr="005B2096">
              <w:rPr>
                <w:rFonts w:ascii="Calibri Light" w:hAnsi="Calibri Light" w:cs="Calibri Light"/>
              </w:rPr>
              <w:t>To be determined</w:t>
            </w:r>
          </w:p>
          <w:p w14:paraId="23A659D8" w14:textId="77777777" w:rsidR="00AE7D90" w:rsidRPr="005B2096" w:rsidRDefault="00AE7D90" w:rsidP="002D2CE0">
            <w:pPr>
              <w:spacing w:before="0" w:after="120"/>
              <w:rPr>
                <w:rFonts w:ascii="Calibri Light" w:hAnsi="Calibri Light" w:cs="Calibri Light"/>
              </w:rPr>
            </w:pPr>
          </w:p>
          <w:p w14:paraId="3FD16B84" w14:textId="77777777" w:rsidR="00AE7D90" w:rsidRPr="005B2096" w:rsidRDefault="00AE7D90" w:rsidP="002D2CE0">
            <w:pPr>
              <w:spacing w:before="0" w:after="120"/>
              <w:rPr>
                <w:rFonts w:ascii="Calibri Light" w:hAnsi="Calibri Light" w:cs="Calibri Light"/>
              </w:rPr>
            </w:pPr>
          </w:p>
        </w:tc>
        <w:tc>
          <w:tcPr>
            <w:tcW w:w="1793" w:type="dxa"/>
            <w:shd w:val="clear" w:color="auto" w:fill="auto"/>
          </w:tcPr>
          <w:p w14:paraId="60167BB2" w14:textId="77777777" w:rsidR="00AE7D90" w:rsidRPr="005B2096" w:rsidRDefault="00AE7D90" w:rsidP="002D2CE0">
            <w:pPr>
              <w:spacing w:before="0" w:after="120"/>
              <w:contextualSpacing/>
              <w:rPr>
                <w:rFonts w:ascii="Calibri Light" w:hAnsi="Calibri Light" w:cs="Calibri Light"/>
              </w:rPr>
            </w:pPr>
            <w:r w:rsidRPr="00964CEC">
              <w:rPr>
                <w:rFonts w:ascii="Calibri Light" w:hAnsi="Calibri Light" w:cs="Calibri Light"/>
              </w:rPr>
              <w:t xml:space="preserve">To be determined </w:t>
            </w:r>
          </w:p>
        </w:tc>
      </w:tr>
    </w:tbl>
    <w:p w14:paraId="3B28F93C" w14:textId="15F28985" w:rsidR="006B16D2" w:rsidRDefault="006B16D2" w:rsidP="006B16D2">
      <w:pPr>
        <w:rPr>
          <w:lang w:val="en-AU"/>
        </w:rPr>
      </w:pPr>
    </w:p>
    <w:p w14:paraId="23AEDA0C" w14:textId="32478E90" w:rsidR="00C44A6E" w:rsidRDefault="00C44A6E" w:rsidP="006B16D2">
      <w:pPr>
        <w:rPr>
          <w:lang w:val="en-AU"/>
        </w:rPr>
      </w:pPr>
      <w:r>
        <w:rPr>
          <w:lang w:val="en-AU"/>
        </w:rPr>
        <w:br w:type="page"/>
      </w:r>
    </w:p>
    <w:p w14:paraId="673E28EF" w14:textId="3BB1F985" w:rsidR="00CE1B37" w:rsidRDefault="006B16D2" w:rsidP="00036CD7">
      <w:pPr>
        <w:pStyle w:val="h3"/>
      </w:pPr>
      <w:bookmarkStart w:id="56" w:name="_Toc86928768"/>
      <w:bookmarkStart w:id="57" w:name="_Toc86929275"/>
      <w:bookmarkStart w:id="58" w:name="_Toc88818206"/>
      <w:r>
        <w:lastRenderedPageBreak/>
        <w:t>Peak Body</w:t>
      </w:r>
      <w:bookmarkEnd w:id="56"/>
      <w:bookmarkEnd w:id="57"/>
      <w:bookmarkEnd w:id="58"/>
    </w:p>
    <w:p w14:paraId="7C91BC90" w14:textId="6BCB1233" w:rsidR="005025B9" w:rsidRPr="00AE7D90" w:rsidRDefault="00AE7D90" w:rsidP="005956DA">
      <w:pPr>
        <w:spacing w:after="120" w:line="240" w:lineRule="auto"/>
        <w:ind w:right="352"/>
        <w:rPr>
          <w:rFonts w:ascii="Calibri Light" w:hAnsi="Calibri Light" w:cs="Calibri Light"/>
          <w:b/>
          <w:bCs/>
          <w:color w:val="000090"/>
          <w:lang w:val="en-US"/>
        </w:rPr>
      </w:pPr>
      <w:r w:rsidRPr="009E5DD8">
        <w:rPr>
          <w:rFonts w:ascii="Calibri Light" w:hAnsi="Calibri Light" w:cs="Calibri Light"/>
          <w:b/>
          <w:bCs/>
          <w:color w:val="000090"/>
        </w:rPr>
        <w:t>OUTCOME:</w:t>
      </w:r>
      <w:r w:rsidRPr="009E5DD8">
        <w:rPr>
          <w:rFonts w:ascii="Calibri Light" w:hAnsi="Calibri Light" w:cs="Calibri Light"/>
          <w:b/>
          <w:bCs/>
          <w:color w:val="000090"/>
          <w:lang w:val="en-US"/>
        </w:rPr>
        <w:t xml:space="preserve"> Increased representation and shared decision-making through structural reform to ensure Aboriginal and Torres Strait Islander peak bodies function as equal partners with governments to improve Aboriginal and Torres Strait Islander health and wellbeing.</w:t>
      </w:r>
      <w:bookmarkStart w:id="59" w:name="_Toc79523352"/>
    </w:p>
    <w:tbl>
      <w:tblPr>
        <w:tblStyle w:val="TableGrid"/>
        <w:tblW w:w="0" w:type="auto"/>
        <w:tblLook w:val="04A0" w:firstRow="1" w:lastRow="0" w:firstColumn="1" w:lastColumn="0" w:noHBand="0" w:noVBand="1"/>
        <w:tblCaption w:val="Action Table - Peak Body"/>
        <w:tblDescription w:val="A table with columns for actions, descriptions, responsibilities,resources and timelines for outcome -Increased representation and shared decision-making through structural reform to ensure Aboriginal and Torres Strait Islander peak bodies function as equal partners with governments to improve Aboriginal and Torres Strait Islander health and wellbeing."/>
      </w:tblPr>
      <w:tblGrid>
        <w:gridCol w:w="567"/>
        <w:gridCol w:w="4252"/>
        <w:gridCol w:w="3899"/>
        <w:gridCol w:w="1778"/>
        <w:gridCol w:w="1728"/>
        <w:gridCol w:w="1724"/>
      </w:tblGrid>
      <w:tr w:rsidR="00AE7D90" w:rsidRPr="009E5DD8" w14:paraId="14FEAB64" w14:textId="77777777" w:rsidTr="00AB08AC">
        <w:trPr>
          <w:tblHeader/>
        </w:trPr>
        <w:tc>
          <w:tcPr>
            <w:tcW w:w="567" w:type="dxa"/>
            <w:shd w:val="clear" w:color="auto" w:fill="D9E2F3" w:themeFill="accent1" w:themeFillTint="33"/>
          </w:tcPr>
          <w:p w14:paraId="4D2D8682" w14:textId="77777777" w:rsidR="00AE7D90" w:rsidRPr="009E5DD8" w:rsidRDefault="00AE7D90" w:rsidP="00AB08AC">
            <w:pPr>
              <w:spacing w:after="120"/>
              <w:rPr>
                <w:rFonts w:ascii="Calibri Light" w:hAnsi="Calibri Light" w:cs="Calibri Light"/>
                <w:b/>
                <w:bCs/>
              </w:rPr>
            </w:pPr>
            <w:bookmarkStart w:id="60" w:name="_Hlk85533874"/>
            <w:r w:rsidRPr="009E5DD8">
              <w:rPr>
                <w:rFonts w:ascii="Calibri Light" w:hAnsi="Calibri Light" w:cs="Calibri Light"/>
                <w:b/>
                <w:bCs/>
              </w:rPr>
              <w:t>No.</w:t>
            </w:r>
          </w:p>
        </w:tc>
        <w:tc>
          <w:tcPr>
            <w:tcW w:w="4253" w:type="dxa"/>
            <w:shd w:val="clear" w:color="auto" w:fill="D9E2F3" w:themeFill="accent1" w:themeFillTint="33"/>
          </w:tcPr>
          <w:p w14:paraId="668E1366" w14:textId="77777777" w:rsidR="00AE7D90" w:rsidRPr="009E5DD8" w:rsidRDefault="00AE7D90" w:rsidP="00AB08AC">
            <w:pPr>
              <w:spacing w:after="120"/>
              <w:rPr>
                <w:rFonts w:ascii="Calibri Light" w:hAnsi="Calibri Light" w:cs="Calibri Light"/>
                <w:b/>
                <w:bCs/>
              </w:rPr>
            </w:pPr>
            <w:r w:rsidRPr="009E5DD8">
              <w:rPr>
                <w:rFonts w:ascii="Calibri Light" w:hAnsi="Calibri Light" w:cs="Calibri Light"/>
                <w:b/>
                <w:bCs/>
              </w:rPr>
              <w:t>ACTION</w:t>
            </w:r>
          </w:p>
        </w:tc>
        <w:tc>
          <w:tcPr>
            <w:tcW w:w="3900" w:type="dxa"/>
            <w:shd w:val="clear" w:color="auto" w:fill="D9E2F3" w:themeFill="accent1" w:themeFillTint="33"/>
          </w:tcPr>
          <w:p w14:paraId="738B18A7" w14:textId="77777777" w:rsidR="00AE7D90" w:rsidRPr="009E5DD8" w:rsidRDefault="00AE7D90" w:rsidP="00AB08AC">
            <w:pPr>
              <w:spacing w:after="120"/>
              <w:rPr>
                <w:rFonts w:ascii="Calibri Light" w:hAnsi="Calibri Light" w:cs="Calibri Light"/>
                <w:b/>
                <w:bCs/>
              </w:rPr>
            </w:pPr>
            <w:r w:rsidRPr="009E5DD8">
              <w:rPr>
                <w:rFonts w:ascii="Calibri Light" w:hAnsi="Calibri Light" w:cs="Calibri Light"/>
                <w:b/>
                <w:bCs/>
              </w:rPr>
              <w:t>Description</w:t>
            </w:r>
          </w:p>
        </w:tc>
        <w:tc>
          <w:tcPr>
            <w:tcW w:w="1778" w:type="dxa"/>
            <w:tcBorders>
              <w:bottom w:val="single" w:sz="4" w:space="0" w:color="auto"/>
            </w:tcBorders>
            <w:shd w:val="clear" w:color="auto" w:fill="D9E2F3" w:themeFill="accent1" w:themeFillTint="33"/>
          </w:tcPr>
          <w:p w14:paraId="3A3DAE63" w14:textId="77777777" w:rsidR="00AE7D90" w:rsidRPr="009E5DD8" w:rsidRDefault="00AE7D90" w:rsidP="00AB08AC">
            <w:pPr>
              <w:spacing w:after="120"/>
              <w:rPr>
                <w:rFonts w:ascii="Calibri Light" w:hAnsi="Calibri Light" w:cs="Calibri Light"/>
                <w:b/>
                <w:bCs/>
              </w:rPr>
            </w:pPr>
            <w:r w:rsidRPr="009E5DD8">
              <w:rPr>
                <w:rFonts w:ascii="Calibri Light" w:hAnsi="Calibri Light" w:cs="Calibri Light"/>
                <w:b/>
                <w:bCs/>
              </w:rPr>
              <w:t>Responsibilities</w:t>
            </w:r>
          </w:p>
        </w:tc>
        <w:tc>
          <w:tcPr>
            <w:tcW w:w="1728" w:type="dxa"/>
            <w:tcBorders>
              <w:bottom w:val="single" w:sz="4" w:space="0" w:color="auto"/>
            </w:tcBorders>
            <w:shd w:val="clear" w:color="auto" w:fill="D9E2F3" w:themeFill="accent1" w:themeFillTint="33"/>
          </w:tcPr>
          <w:p w14:paraId="6B57DF35" w14:textId="77777777" w:rsidR="00AE7D90" w:rsidRPr="009E5DD8" w:rsidRDefault="00AE7D90" w:rsidP="00AB08AC">
            <w:pPr>
              <w:spacing w:after="120"/>
              <w:rPr>
                <w:rFonts w:ascii="Calibri Light" w:hAnsi="Calibri Light" w:cs="Calibri Light"/>
                <w:b/>
                <w:bCs/>
              </w:rPr>
            </w:pPr>
            <w:r w:rsidRPr="009E5DD8">
              <w:rPr>
                <w:rFonts w:ascii="Calibri Light" w:hAnsi="Calibri Light" w:cs="Calibri Light"/>
                <w:b/>
                <w:bCs/>
              </w:rPr>
              <w:t>Resources</w:t>
            </w:r>
          </w:p>
        </w:tc>
        <w:tc>
          <w:tcPr>
            <w:tcW w:w="1724" w:type="dxa"/>
            <w:tcBorders>
              <w:bottom w:val="single" w:sz="4" w:space="0" w:color="auto"/>
            </w:tcBorders>
            <w:shd w:val="clear" w:color="auto" w:fill="D9E2F3" w:themeFill="accent1" w:themeFillTint="33"/>
          </w:tcPr>
          <w:p w14:paraId="251AECE4" w14:textId="77777777" w:rsidR="00AE7D90" w:rsidRPr="009E5DD8" w:rsidRDefault="00AE7D90" w:rsidP="00AB08AC">
            <w:pPr>
              <w:spacing w:after="120"/>
              <w:rPr>
                <w:rFonts w:ascii="Calibri Light" w:hAnsi="Calibri Light" w:cs="Calibri Light"/>
                <w:b/>
                <w:bCs/>
              </w:rPr>
            </w:pPr>
            <w:r w:rsidRPr="009E5DD8">
              <w:rPr>
                <w:rFonts w:ascii="Calibri Light" w:hAnsi="Calibri Light" w:cs="Calibri Light"/>
                <w:b/>
                <w:bCs/>
              </w:rPr>
              <w:t>Timelines</w:t>
            </w:r>
          </w:p>
        </w:tc>
      </w:tr>
      <w:tr w:rsidR="00AE7D90" w:rsidRPr="009E5DD8" w14:paraId="6A67CB89" w14:textId="77777777" w:rsidTr="00AB08AC">
        <w:tc>
          <w:tcPr>
            <w:tcW w:w="567" w:type="dxa"/>
          </w:tcPr>
          <w:p w14:paraId="0901D686" w14:textId="77777777" w:rsidR="00AE7D90" w:rsidRPr="009E5DD8" w:rsidRDefault="00AE7D90" w:rsidP="002D2CE0">
            <w:pPr>
              <w:spacing w:before="0" w:after="120"/>
              <w:rPr>
                <w:rFonts w:ascii="Calibri Light" w:hAnsi="Calibri Light" w:cs="Calibri Light"/>
              </w:rPr>
            </w:pPr>
            <w:r w:rsidRPr="009E5DD8">
              <w:rPr>
                <w:rFonts w:ascii="Calibri Light" w:hAnsi="Calibri Light" w:cs="Calibri Light"/>
              </w:rPr>
              <w:t>A17</w:t>
            </w:r>
          </w:p>
        </w:tc>
        <w:tc>
          <w:tcPr>
            <w:tcW w:w="4253" w:type="dxa"/>
          </w:tcPr>
          <w:p w14:paraId="268F9930" w14:textId="77777777" w:rsidR="00AE7D90" w:rsidRPr="009E5DD8" w:rsidRDefault="00AE7D90" w:rsidP="002D2CE0">
            <w:pPr>
              <w:spacing w:before="0" w:after="120"/>
              <w:rPr>
                <w:rFonts w:ascii="Calibri Light" w:hAnsi="Calibri Light" w:cs="Calibri Light"/>
              </w:rPr>
            </w:pPr>
            <w:r w:rsidRPr="009E5DD8">
              <w:rPr>
                <w:rFonts w:ascii="Calibri Light" w:hAnsi="Calibri Light" w:cs="Calibri Light"/>
                <w:b/>
                <w:bCs/>
                <w:color w:val="000000" w:themeColor="text1"/>
                <w:lang w:val="en-US"/>
              </w:rPr>
              <w:t>Expand</w:t>
            </w:r>
            <w:r w:rsidRPr="009E5DD8">
              <w:rPr>
                <w:rFonts w:ascii="Calibri Light" w:hAnsi="Calibri Light" w:cs="Calibri Light"/>
                <w:color w:val="000000" w:themeColor="text1"/>
                <w:lang w:val="en-US"/>
              </w:rPr>
              <w:t xml:space="preserve"> independent Aboriginal and Torres Strait Islander representation on government and non-government bodies and other decision-making entities whose decisions affect the health of Aboriginal and Torres Strait Islander peoples.</w:t>
            </w:r>
          </w:p>
        </w:tc>
        <w:tc>
          <w:tcPr>
            <w:tcW w:w="3900" w:type="dxa"/>
          </w:tcPr>
          <w:p w14:paraId="6DF49D5A" w14:textId="77777777" w:rsidR="00AE7D90" w:rsidRPr="009E5DD8" w:rsidRDefault="00AE7D90" w:rsidP="002D2CE0">
            <w:pPr>
              <w:spacing w:before="0" w:after="120"/>
              <w:rPr>
                <w:rFonts w:ascii="Calibri Light" w:eastAsia="Calibri" w:hAnsi="Calibri Light" w:cs="Calibri Light"/>
                <w:lang w:eastAsia="en-AU"/>
              </w:rPr>
            </w:pPr>
            <w:r w:rsidRPr="009E5DD8">
              <w:rPr>
                <w:rFonts w:ascii="Calibri Light" w:eastAsia="Calibri" w:hAnsi="Calibri Light" w:cs="Calibri Light"/>
                <w:b/>
                <w:bCs/>
                <w:lang w:eastAsia="en-AU"/>
              </w:rPr>
              <w:t>Explore</w:t>
            </w:r>
            <w:r w:rsidRPr="009E5DD8">
              <w:rPr>
                <w:rFonts w:ascii="Calibri Light" w:eastAsia="Calibri" w:hAnsi="Calibri Light" w:cs="Calibri Light"/>
                <w:lang w:eastAsia="en-AU"/>
              </w:rPr>
              <w:t xml:space="preserve"> how the new formal Collaborations that report to Health Chief Executives’ Forum can include expanded membership of Aboriginal and Torres Strait Islander experts in Aboriginal and Torres Strait Islander health and wellbeing. </w:t>
            </w:r>
          </w:p>
          <w:p w14:paraId="5C457A82" w14:textId="77777777" w:rsidR="00AE7D90" w:rsidRPr="009E5DD8" w:rsidRDefault="00AE7D90" w:rsidP="002D2CE0">
            <w:pPr>
              <w:spacing w:before="0" w:after="120"/>
              <w:rPr>
                <w:rFonts w:ascii="Calibri Light" w:eastAsia="Calibri" w:hAnsi="Calibri Light" w:cs="Calibri Light"/>
                <w:lang w:eastAsia="en-AU"/>
              </w:rPr>
            </w:pPr>
            <w:r w:rsidRPr="009E5DD8">
              <w:rPr>
                <w:rFonts w:ascii="Calibri Light" w:eastAsia="Calibri" w:hAnsi="Calibri Light" w:cs="Calibri Light"/>
                <w:b/>
                <w:bCs/>
                <w:lang w:eastAsia="en-AU"/>
              </w:rPr>
              <w:t>Develop</w:t>
            </w:r>
            <w:r w:rsidRPr="009E5DD8">
              <w:rPr>
                <w:rFonts w:ascii="Calibri Light" w:eastAsia="Calibri" w:hAnsi="Calibri Light" w:cs="Calibri Light"/>
                <w:lang w:eastAsia="en-AU"/>
              </w:rPr>
              <w:t xml:space="preserve"> mechanisms to monitor progress and impact of structural reform in the Australian health system to increase independent representation selected by the sector to enhance influence of Aboriginal and Torres Strait Islander perspectives and lived experience in high-level health policy and resource allocation decisions</w:t>
            </w:r>
          </w:p>
        </w:tc>
        <w:tc>
          <w:tcPr>
            <w:tcW w:w="1778" w:type="dxa"/>
            <w:shd w:val="clear" w:color="auto" w:fill="auto"/>
          </w:tcPr>
          <w:p w14:paraId="7079ADF5" w14:textId="77777777" w:rsidR="00AE7D90" w:rsidRPr="009E5DD8" w:rsidRDefault="00AE7D90" w:rsidP="002D2CE0">
            <w:pPr>
              <w:spacing w:before="0" w:after="120"/>
              <w:rPr>
                <w:rFonts w:ascii="Calibri Light" w:hAnsi="Calibri Light" w:cs="Calibri Light"/>
              </w:rPr>
            </w:pPr>
            <w:r w:rsidRPr="009E5DD8">
              <w:rPr>
                <w:rFonts w:ascii="Calibri Light" w:hAnsi="Calibri Light" w:cs="Calibri Light"/>
              </w:rPr>
              <w:t xml:space="preserve">Australian Government Department of Health </w:t>
            </w:r>
          </w:p>
          <w:p w14:paraId="07137CF4" w14:textId="77777777" w:rsidR="00AE7D90" w:rsidRPr="009E5DD8" w:rsidRDefault="00AE7D90" w:rsidP="002D2CE0">
            <w:pPr>
              <w:spacing w:before="0" w:after="120"/>
              <w:rPr>
                <w:rFonts w:ascii="Calibri Light" w:hAnsi="Calibri Light" w:cs="Calibri Light"/>
              </w:rPr>
            </w:pPr>
          </w:p>
          <w:p w14:paraId="11AD5451" w14:textId="77777777" w:rsidR="00AE7D90" w:rsidRPr="009E5DD8" w:rsidRDefault="00AE7D90" w:rsidP="002D2CE0">
            <w:pPr>
              <w:spacing w:before="0" w:after="120"/>
              <w:rPr>
                <w:rFonts w:ascii="Calibri Light" w:hAnsi="Calibri Light" w:cs="Calibri Light"/>
              </w:rPr>
            </w:pPr>
            <w:r w:rsidRPr="009E5DD8">
              <w:rPr>
                <w:rFonts w:ascii="Calibri Light" w:hAnsi="Calibri Light" w:cs="Calibri Light"/>
              </w:rPr>
              <w:t>NACCHO</w:t>
            </w:r>
          </w:p>
          <w:p w14:paraId="41885954" w14:textId="77777777" w:rsidR="00AE7D90" w:rsidRPr="009E5DD8" w:rsidRDefault="00AE7D90" w:rsidP="002D2CE0">
            <w:pPr>
              <w:spacing w:before="0" w:after="120"/>
              <w:rPr>
                <w:rFonts w:ascii="Calibri Light" w:hAnsi="Calibri Light" w:cs="Calibri Light"/>
              </w:rPr>
            </w:pPr>
          </w:p>
          <w:p w14:paraId="26D7C44F" w14:textId="77777777" w:rsidR="00AE7D90" w:rsidRPr="009E5DD8" w:rsidRDefault="00AE7D90" w:rsidP="002D2CE0">
            <w:pPr>
              <w:spacing w:before="0" w:after="120"/>
              <w:rPr>
                <w:rFonts w:ascii="Calibri Light" w:hAnsi="Calibri Light" w:cs="Calibri Light"/>
              </w:rPr>
            </w:pPr>
            <w:r w:rsidRPr="009E5DD8">
              <w:rPr>
                <w:rFonts w:ascii="Calibri Light" w:hAnsi="Calibri Light" w:cs="Calibri Light"/>
              </w:rPr>
              <w:t>Sector Support Organisations</w:t>
            </w:r>
          </w:p>
        </w:tc>
        <w:tc>
          <w:tcPr>
            <w:tcW w:w="1728" w:type="dxa"/>
            <w:shd w:val="clear" w:color="auto" w:fill="auto"/>
          </w:tcPr>
          <w:p w14:paraId="3E92C78B" w14:textId="77777777" w:rsidR="00AE7D90" w:rsidRPr="009E5DD8" w:rsidRDefault="00AE7D90" w:rsidP="002D2CE0">
            <w:pPr>
              <w:spacing w:before="0" w:after="120"/>
              <w:rPr>
                <w:rFonts w:ascii="Calibri Light" w:hAnsi="Calibri Light" w:cs="Calibri Light"/>
              </w:rPr>
            </w:pPr>
            <w:r w:rsidRPr="009E5DD8">
              <w:rPr>
                <w:rFonts w:ascii="Calibri Light" w:hAnsi="Calibri Light" w:cs="Calibri Light"/>
              </w:rPr>
              <w:t>To be determined</w:t>
            </w:r>
          </w:p>
        </w:tc>
        <w:tc>
          <w:tcPr>
            <w:tcW w:w="1724" w:type="dxa"/>
            <w:shd w:val="clear" w:color="auto" w:fill="auto"/>
          </w:tcPr>
          <w:p w14:paraId="1FFDE5DB" w14:textId="77777777" w:rsidR="00AE7D90" w:rsidRPr="009E5DD8" w:rsidRDefault="00AE7D90" w:rsidP="002D2CE0">
            <w:pPr>
              <w:spacing w:before="0" w:after="120"/>
              <w:contextualSpacing/>
              <w:rPr>
                <w:rFonts w:ascii="Calibri Light" w:hAnsi="Calibri Light" w:cs="Calibri Light"/>
              </w:rPr>
            </w:pPr>
            <w:r w:rsidRPr="00964CEC">
              <w:rPr>
                <w:rFonts w:ascii="Calibri Light" w:hAnsi="Calibri Light" w:cs="Calibri Light"/>
              </w:rPr>
              <w:t xml:space="preserve">To be determined </w:t>
            </w:r>
          </w:p>
        </w:tc>
      </w:tr>
      <w:bookmarkEnd w:id="60"/>
    </w:tbl>
    <w:p w14:paraId="14B9FA21" w14:textId="4F7953D4" w:rsidR="00AE7D90" w:rsidRDefault="00AE7D90">
      <w:pPr>
        <w:spacing w:before="0"/>
        <w:sectPr w:rsidR="00AE7D90" w:rsidSect="00151C9D">
          <w:pgSz w:w="16838" w:h="11906" w:orient="landscape"/>
          <w:pgMar w:top="1440" w:right="1440" w:bottom="1440" w:left="1440" w:header="720" w:footer="720" w:gutter="0"/>
          <w:cols w:space="720"/>
          <w:docGrid w:linePitch="360"/>
        </w:sectPr>
      </w:pPr>
    </w:p>
    <w:p w14:paraId="45E4358D" w14:textId="5154874E" w:rsidR="005D5FDE" w:rsidRPr="00236D1D" w:rsidRDefault="005D5FDE" w:rsidP="00036CD7">
      <w:pPr>
        <w:pStyle w:val="h2"/>
      </w:pPr>
      <w:bookmarkStart w:id="61" w:name="_Toc88818207"/>
      <w:r w:rsidRPr="00236D1D">
        <w:lastRenderedPageBreak/>
        <w:t xml:space="preserve">ADDENDUM </w:t>
      </w:r>
      <w:r w:rsidR="00E02AB4" w:rsidRPr="00236D1D">
        <w:t>–</w:t>
      </w:r>
      <w:r w:rsidRPr="00236D1D">
        <w:t xml:space="preserve"> Engagements</w:t>
      </w:r>
      <w:bookmarkEnd w:id="59"/>
      <w:bookmarkEnd w:id="61"/>
    </w:p>
    <w:p w14:paraId="48044543" w14:textId="77777777" w:rsidR="00AE7D90" w:rsidRDefault="00AE7D90" w:rsidP="00AE7D90">
      <w:pPr>
        <w:spacing w:after="240"/>
        <w:ind w:right="352"/>
        <w:rPr>
          <w:rFonts w:asciiTheme="majorHAnsi" w:hAnsiTheme="majorHAnsi" w:cstheme="majorHAnsi"/>
          <w:iCs/>
          <w:lang w:val="en-US"/>
        </w:rPr>
      </w:pPr>
      <w:r w:rsidRPr="00A93E25">
        <w:rPr>
          <w:rFonts w:asciiTheme="majorHAnsi" w:hAnsiTheme="majorHAnsi" w:cstheme="majorHAnsi"/>
          <w:iCs/>
          <w:lang w:val="en-US"/>
        </w:rPr>
        <w:t xml:space="preserve">Multiple sources have been used to map priorities for sector strengthening strategies to build the Aboriginal and Torres Strait Islander community-controlled </w:t>
      </w:r>
      <w:r>
        <w:rPr>
          <w:rFonts w:asciiTheme="majorHAnsi" w:hAnsiTheme="majorHAnsi" w:cstheme="majorHAnsi"/>
          <w:iCs/>
          <w:lang w:val="en-US"/>
        </w:rPr>
        <w:t>health</w:t>
      </w:r>
      <w:r w:rsidRPr="00A93E25">
        <w:rPr>
          <w:rFonts w:asciiTheme="majorHAnsi" w:hAnsiTheme="majorHAnsi" w:cstheme="majorHAnsi"/>
          <w:iCs/>
          <w:lang w:val="en-US"/>
        </w:rPr>
        <w:t xml:space="preserve"> sector to deliver the outcomes of the imminent</w:t>
      </w:r>
      <w:r>
        <w:rPr>
          <w:rFonts w:asciiTheme="majorHAnsi" w:hAnsiTheme="majorHAnsi" w:cstheme="majorHAnsi"/>
          <w:iCs/>
          <w:lang w:val="en-US"/>
        </w:rPr>
        <w:t xml:space="preserve"> (not yet released)</w:t>
      </w:r>
      <w:r w:rsidRPr="00A93E25">
        <w:rPr>
          <w:rFonts w:asciiTheme="majorHAnsi" w:hAnsiTheme="majorHAnsi" w:cstheme="majorHAnsi"/>
          <w:iCs/>
          <w:lang w:val="en-US"/>
        </w:rPr>
        <w:t xml:space="preserve"> </w:t>
      </w:r>
      <w:r w:rsidRPr="00A93E25">
        <w:rPr>
          <w:rFonts w:asciiTheme="majorHAnsi" w:hAnsiTheme="majorHAnsi" w:cstheme="majorHAnsi"/>
          <w:bCs/>
          <w:i/>
          <w:iCs/>
          <w:lang w:val="en-US"/>
        </w:rPr>
        <w:t xml:space="preserve">National Aboriginal and Torres Strait Islander </w:t>
      </w:r>
      <w:r>
        <w:rPr>
          <w:rFonts w:asciiTheme="majorHAnsi" w:hAnsiTheme="majorHAnsi" w:cstheme="majorHAnsi"/>
          <w:bCs/>
          <w:i/>
          <w:iCs/>
          <w:lang w:val="en-US"/>
        </w:rPr>
        <w:t>Health</w:t>
      </w:r>
      <w:r w:rsidRPr="00A93E25">
        <w:rPr>
          <w:rFonts w:asciiTheme="majorHAnsi" w:hAnsiTheme="majorHAnsi" w:cstheme="majorHAnsi"/>
          <w:bCs/>
          <w:i/>
          <w:iCs/>
          <w:lang w:val="en-US"/>
        </w:rPr>
        <w:t xml:space="preserve"> Plan 2021–2031</w:t>
      </w:r>
      <w:r w:rsidRPr="00A93E25">
        <w:rPr>
          <w:rFonts w:asciiTheme="majorHAnsi" w:hAnsiTheme="majorHAnsi" w:cstheme="majorHAnsi"/>
          <w:bCs/>
          <w:iCs/>
          <w:lang w:val="en-US"/>
        </w:rPr>
        <w:t xml:space="preserve"> and the developing </w:t>
      </w:r>
      <w:r w:rsidRPr="00A93E25">
        <w:rPr>
          <w:rFonts w:asciiTheme="majorHAnsi" w:hAnsiTheme="majorHAnsi" w:cstheme="majorHAnsi"/>
          <w:bCs/>
          <w:i/>
          <w:iCs/>
          <w:lang w:val="en-US"/>
        </w:rPr>
        <w:t xml:space="preserve">National Aboriginal and Torres Strait Islander </w:t>
      </w:r>
      <w:r>
        <w:rPr>
          <w:rFonts w:asciiTheme="majorHAnsi" w:hAnsiTheme="majorHAnsi" w:cstheme="majorHAnsi"/>
          <w:bCs/>
          <w:i/>
          <w:iCs/>
          <w:lang w:val="en-US"/>
        </w:rPr>
        <w:t>Health</w:t>
      </w:r>
      <w:r w:rsidRPr="00A93E25">
        <w:rPr>
          <w:rFonts w:asciiTheme="majorHAnsi" w:hAnsiTheme="majorHAnsi" w:cstheme="majorHAnsi"/>
          <w:bCs/>
          <w:i/>
          <w:iCs/>
          <w:lang w:val="en-US"/>
        </w:rPr>
        <w:t xml:space="preserve"> Workforce Strategic Framework and Implementation Plan 2021–2031.</w:t>
      </w:r>
      <w:r>
        <w:rPr>
          <w:rFonts w:asciiTheme="majorHAnsi" w:hAnsiTheme="majorHAnsi" w:cstheme="majorHAnsi"/>
          <w:iCs/>
          <w:lang w:val="en-US"/>
        </w:rPr>
        <w:t xml:space="preserve"> </w:t>
      </w:r>
    </w:p>
    <w:p w14:paraId="51FD3168" w14:textId="77777777" w:rsidR="00AE7D90" w:rsidRDefault="00AE7D90" w:rsidP="00AE7D90">
      <w:pPr>
        <w:spacing w:after="240"/>
        <w:ind w:right="352"/>
        <w:rPr>
          <w:rFonts w:asciiTheme="majorHAnsi" w:hAnsiTheme="majorHAnsi" w:cstheme="majorBidi"/>
        </w:rPr>
      </w:pPr>
      <w:r w:rsidRPr="00A93E25">
        <w:rPr>
          <w:rFonts w:asciiTheme="majorHAnsi" w:hAnsiTheme="majorHAnsi" w:cstheme="majorHAnsi"/>
          <w:iCs/>
          <w:lang w:val="en-US"/>
        </w:rPr>
        <w:t>Initial so</w:t>
      </w:r>
      <w:r>
        <w:rPr>
          <w:rFonts w:asciiTheme="majorHAnsi" w:hAnsiTheme="majorHAnsi" w:cstheme="majorHAnsi"/>
          <w:iCs/>
          <w:lang w:val="en-US"/>
        </w:rPr>
        <w:t xml:space="preserve">urces </w:t>
      </w:r>
      <w:r w:rsidRPr="002548A7">
        <w:rPr>
          <w:rFonts w:asciiTheme="majorHAnsi" w:hAnsiTheme="majorHAnsi" w:cstheme="majorHAnsi"/>
          <w:iCs/>
          <w:lang w:val="en-US"/>
        </w:rPr>
        <w:t xml:space="preserve">included findings </w:t>
      </w:r>
      <w:r w:rsidRPr="002548A7">
        <w:rPr>
          <w:rFonts w:asciiTheme="majorHAnsi" w:hAnsiTheme="majorHAnsi" w:cstheme="majorBidi"/>
        </w:rPr>
        <w:t xml:space="preserve">put forward in the Needs Assessment workshop facilitated by the Coalition of Peaks and the </w:t>
      </w:r>
      <w:r>
        <w:rPr>
          <w:rFonts w:asciiTheme="majorHAnsi" w:hAnsiTheme="majorHAnsi" w:cstheme="majorBidi"/>
        </w:rPr>
        <w:t>National Indigenous Australians</w:t>
      </w:r>
      <w:r w:rsidRPr="002548A7">
        <w:rPr>
          <w:rFonts w:asciiTheme="majorHAnsi" w:hAnsiTheme="majorHAnsi" w:cstheme="majorBidi"/>
        </w:rPr>
        <w:t xml:space="preserve"> Agency in January 2021 which led to Joint Council support for (1) increasing the capacity of the sector to provide comprehensive services, particularly in regional and remote areas, and (2) supporting the sector’s engagement in and implementation of the </w:t>
      </w:r>
      <w:r w:rsidRPr="002548A7">
        <w:rPr>
          <w:rFonts w:asciiTheme="majorHAnsi" w:hAnsiTheme="majorHAnsi" w:cstheme="majorBidi"/>
          <w:i/>
        </w:rPr>
        <w:t>National Aboriginal and Torres Strait Islander Health Workforce Strategic Framework and Implementation Plan 2021-2031</w:t>
      </w:r>
      <w:r w:rsidRPr="002548A7">
        <w:rPr>
          <w:rFonts w:asciiTheme="majorHAnsi" w:hAnsiTheme="majorHAnsi" w:cstheme="majorBidi"/>
        </w:rPr>
        <w:t xml:space="preserve"> including clinical and non-clinical workforce areas of high demand and need. </w:t>
      </w:r>
    </w:p>
    <w:p w14:paraId="493C3FDE" w14:textId="77777777" w:rsidR="00AE7D90" w:rsidRDefault="00AE7D90" w:rsidP="00AE7D90">
      <w:pPr>
        <w:spacing w:after="240"/>
        <w:ind w:right="352"/>
        <w:rPr>
          <w:rFonts w:asciiTheme="majorHAnsi" w:hAnsiTheme="majorHAnsi" w:cstheme="majorHAnsi"/>
          <w:iCs/>
          <w:lang w:val="en-US"/>
        </w:rPr>
      </w:pPr>
      <w:r w:rsidRPr="002548A7">
        <w:rPr>
          <w:rFonts w:asciiTheme="majorHAnsi" w:hAnsiTheme="majorHAnsi" w:cstheme="majorHAnsi"/>
          <w:iCs/>
          <w:lang w:val="en-US"/>
        </w:rPr>
        <w:t xml:space="preserve">NACCHO created a Sector Reference Group which met prior to each </w:t>
      </w:r>
      <w:r w:rsidRPr="00351311">
        <w:rPr>
          <w:rFonts w:asciiTheme="majorHAnsi" w:hAnsiTheme="majorHAnsi" w:cstheme="majorHAnsi"/>
          <w:iCs/>
          <w:lang w:val="en-US"/>
        </w:rPr>
        <w:t>HSSP</w:t>
      </w:r>
      <w:r>
        <w:rPr>
          <w:rFonts w:asciiTheme="majorHAnsi" w:hAnsiTheme="majorHAnsi" w:cstheme="majorHAnsi"/>
          <w:iCs/>
          <w:lang w:val="en-US"/>
        </w:rPr>
        <w:t xml:space="preserve">WG meeting. </w:t>
      </w:r>
      <w:r w:rsidRPr="0064510B">
        <w:rPr>
          <w:rFonts w:asciiTheme="majorHAnsi" w:hAnsiTheme="majorHAnsi" w:cstheme="majorHAnsi"/>
          <w:iCs/>
          <w:lang w:val="en-US"/>
        </w:rPr>
        <w:t xml:space="preserve">Government representatives on the </w:t>
      </w:r>
      <w:r w:rsidRPr="002548A7">
        <w:rPr>
          <w:rFonts w:asciiTheme="majorHAnsi" w:hAnsiTheme="majorHAnsi" w:cstheme="majorHAnsi"/>
          <w:iCs/>
          <w:lang w:val="en-US"/>
        </w:rPr>
        <w:t>HSSPWG consulted within their own jurisdictions, across departments</w:t>
      </w:r>
      <w:r w:rsidRPr="00A93E25">
        <w:rPr>
          <w:rFonts w:asciiTheme="majorHAnsi" w:hAnsiTheme="majorHAnsi" w:cstheme="majorHAnsi"/>
          <w:iCs/>
          <w:lang w:val="en-US"/>
        </w:rPr>
        <w:t xml:space="preserve"> and with the </w:t>
      </w:r>
      <w:r>
        <w:rPr>
          <w:rFonts w:asciiTheme="majorHAnsi" w:hAnsiTheme="majorHAnsi" w:cstheme="majorHAnsi"/>
          <w:iCs/>
          <w:lang w:val="en-US"/>
        </w:rPr>
        <w:t xml:space="preserve">respective community-controlled health Sector Support </w:t>
      </w:r>
      <w:proofErr w:type="spellStart"/>
      <w:r>
        <w:rPr>
          <w:rFonts w:asciiTheme="majorHAnsi" w:hAnsiTheme="majorHAnsi" w:cstheme="majorHAnsi"/>
          <w:iCs/>
          <w:lang w:val="en-US"/>
        </w:rPr>
        <w:t>Organisation</w:t>
      </w:r>
      <w:proofErr w:type="spellEnd"/>
      <w:r>
        <w:rPr>
          <w:rFonts w:asciiTheme="majorHAnsi" w:hAnsiTheme="majorHAnsi" w:cstheme="majorHAnsi"/>
          <w:iCs/>
          <w:lang w:val="en-US"/>
        </w:rPr>
        <w:t xml:space="preserve"> </w:t>
      </w:r>
      <w:r w:rsidRPr="00A93E25">
        <w:rPr>
          <w:rFonts w:asciiTheme="majorHAnsi" w:hAnsiTheme="majorHAnsi" w:cstheme="majorHAnsi"/>
          <w:iCs/>
          <w:lang w:val="en-US"/>
        </w:rPr>
        <w:t xml:space="preserve">and </w:t>
      </w:r>
      <w:r>
        <w:rPr>
          <w:rFonts w:asciiTheme="majorHAnsi" w:hAnsiTheme="majorHAnsi" w:cstheme="majorHAnsi"/>
          <w:iCs/>
          <w:lang w:val="en-US"/>
        </w:rPr>
        <w:t xml:space="preserve">directly with </w:t>
      </w:r>
      <w:r w:rsidRPr="00A93E25">
        <w:rPr>
          <w:rFonts w:asciiTheme="majorHAnsi" w:hAnsiTheme="majorHAnsi" w:cstheme="majorHAnsi"/>
          <w:iCs/>
          <w:lang w:val="en-US"/>
        </w:rPr>
        <w:t xml:space="preserve">community-controlled </w:t>
      </w:r>
      <w:r>
        <w:rPr>
          <w:rFonts w:asciiTheme="majorHAnsi" w:hAnsiTheme="majorHAnsi" w:cstheme="majorHAnsi"/>
          <w:iCs/>
          <w:lang w:val="en-US"/>
        </w:rPr>
        <w:t>health</w:t>
      </w:r>
      <w:r w:rsidRPr="00A93E25">
        <w:rPr>
          <w:rFonts w:asciiTheme="majorHAnsi" w:hAnsiTheme="majorHAnsi" w:cstheme="majorHAnsi"/>
          <w:iCs/>
          <w:lang w:val="en-US"/>
        </w:rPr>
        <w:t xml:space="preserve"> services.</w:t>
      </w:r>
      <w:r>
        <w:rPr>
          <w:rFonts w:asciiTheme="majorHAnsi" w:hAnsiTheme="majorHAnsi" w:cstheme="majorHAnsi"/>
          <w:iCs/>
          <w:lang w:val="en-US"/>
        </w:rPr>
        <w:t xml:space="preserve"> To support </w:t>
      </w:r>
      <w:r w:rsidRPr="00A93E25">
        <w:rPr>
          <w:rFonts w:asciiTheme="majorHAnsi" w:hAnsiTheme="majorHAnsi" w:cstheme="majorHAnsi"/>
          <w:iCs/>
          <w:lang w:val="en-US"/>
        </w:rPr>
        <w:t>consultations and engagement, t</w:t>
      </w:r>
      <w:r>
        <w:rPr>
          <w:rFonts w:asciiTheme="majorHAnsi" w:hAnsiTheme="majorHAnsi" w:cstheme="majorHAnsi"/>
          <w:iCs/>
          <w:lang w:val="en-US"/>
        </w:rPr>
        <w:t>he HSSPWG released a 12-page</w:t>
      </w:r>
      <w:r w:rsidRPr="00A93E25">
        <w:rPr>
          <w:rFonts w:asciiTheme="majorHAnsi" w:hAnsiTheme="majorHAnsi" w:cstheme="majorHAnsi"/>
          <w:iCs/>
          <w:lang w:val="en-US"/>
        </w:rPr>
        <w:t xml:space="preserve"> Issues Paper in July 2021</w:t>
      </w:r>
      <w:r>
        <w:rPr>
          <w:rFonts w:asciiTheme="majorHAnsi" w:hAnsiTheme="majorHAnsi" w:cstheme="majorHAnsi"/>
          <w:iCs/>
          <w:lang w:val="en-US"/>
        </w:rPr>
        <w:t xml:space="preserve"> which set the scene for its work, timelines and requirements</w:t>
      </w:r>
      <w:r w:rsidRPr="00A93E25">
        <w:rPr>
          <w:rFonts w:asciiTheme="majorHAnsi" w:hAnsiTheme="majorHAnsi" w:cstheme="majorHAnsi"/>
          <w:iCs/>
          <w:lang w:val="en-US"/>
        </w:rPr>
        <w:t xml:space="preserve">. This </w:t>
      </w:r>
      <w:r>
        <w:rPr>
          <w:rFonts w:asciiTheme="majorHAnsi" w:hAnsiTheme="majorHAnsi" w:cstheme="majorHAnsi"/>
          <w:iCs/>
          <w:lang w:val="en-US"/>
        </w:rPr>
        <w:t xml:space="preserve">also </w:t>
      </w:r>
      <w:r w:rsidRPr="00A93E25">
        <w:rPr>
          <w:rFonts w:asciiTheme="majorHAnsi" w:hAnsiTheme="majorHAnsi" w:cstheme="majorHAnsi"/>
          <w:iCs/>
          <w:lang w:val="en-US"/>
        </w:rPr>
        <w:t xml:space="preserve">contained an initial </w:t>
      </w:r>
      <w:r>
        <w:rPr>
          <w:rFonts w:asciiTheme="majorHAnsi" w:hAnsiTheme="majorHAnsi" w:cstheme="majorHAnsi"/>
          <w:iCs/>
          <w:lang w:val="en-US"/>
        </w:rPr>
        <w:t xml:space="preserve">list of strategies for review. </w:t>
      </w:r>
      <w:r w:rsidRPr="00B359E5">
        <w:rPr>
          <w:rFonts w:asciiTheme="majorHAnsi" w:hAnsiTheme="majorHAnsi" w:cstheme="majorHAnsi"/>
          <w:iCs/>
          <w:lang w:val="en-US"/>
        </w:rPr>
        <w:t>NACCHO distributed this Issues Paper</w:t>
      </w:r>
      <w:r>
        <w:rPr>
          <w:rFonts w:asciiTheme="majorHAnsi" w:hAnsiTheme="majorHAnsi" w:cstheme="majorHAnsi"/>
          <w:iCs/>
          <w:lang w:val="en-US"/>
        </w:rPr>
        <w:t xml:space="preserve"> widely throughout the sector. </w:t>
      </w:r>
      <w:r w:rsidRPr="00A93E25">
        <w:rPr>
          <w:rFonts w:asciiTheme="majorHAnsi" w:hAnsiTheme="majorHAnsi" w:cstheme="majorHAnsi"/>
          <w:iCs/>
          <w:lang w:val="en-US"/>
        </w:rPr>
        <w:t>Written sector and government input in response to this Issues Paper was collated</w:t>
      </w:r>
      <w:r>
        <w:rPr>
          <w:rFonts w:asciiTheme="majorHAnsi" w:hAnsiTheme="majorHAnsi" w:cstheme="majorHAnsi"/>
          <w:iCs/>
          <w:lang w:val="en-US"/>
        </w:rPr>
        <w:t>,</w:t>
      </w:r>
      <w:r w:rsidRPr="00A93E25">
        <w:rPr>
          <w:rFonts w:asciiTheme="majorHAnsi" w:hAnsiTheme="majorHAnsi" w:cstheme="majorHAnsi"/>
          <w:iCs/>
          <w:lang w:val="en-US"/>
        </w:rPr>
        <w:t xml:space="preserve"> as were verbal suggestions and comments in consultation forums including discussions at two sector webinars facilitated by NACCHO on 30 July </w:t>
      </w:r>
      <w:r>
        <w:rPr>
          <w:rFonts w:asciiTheme="majorHAnsi" w:hAnsiTheme="majorHAnsi" w:cstheme="majorHAnsi"/>
          <w:iCs/>
          <w:lang w:val="en-US"/>
        </w:rPr>
        <w:t xml:space="preserve">2021 </w:t>
      </w:r>
      <w:r w:rsidRPr="00A93E25">
        <w:rPr>
          <w:rFonts w:asciiTheme="majorHAnsi" w:hAnsiTheme="majorHAnsi" w:cstheme="majorHAnsi"/>
          <w:iCs/>
          <w:lang w:val="en-US"/>
        </w:rPr>
        <w:t xml:space="preserve">and 3 August </w:t>
      </w:r>
      <w:r>
        <w:rPr>
          <w:rFonts w:asciiTheme="majorHAnsi" w:hAnsiTheme="majorHAnsi" w:cstheme="majorHAnsi"/>
          <w:iCs/>
          <w:lang w:val="en-US"/>
        </w:rPr>
        <w:t xml:space="preserve">2021 </w:t>
      </w:r>
      <w:r w:rsidRPr="00A93E25">
        <w:rPr>
          <w:rFonts w:asciiTheme="majorHAnsi" w:hAnsiTheme="majorHAnsi" w:cstheme="majorHAnsi"/>
          <w:iCs/>
          <w:lang w:val="en-US"/>
        </w:rPr>
        <w:t xml:space="preserve">respectively.  </w:t>
      </w:r>
    </w:p>
    <w:p w14:paraId="3FEFC287" w14:textId="77777777" w:rsidR="00AE7D90" w:rsidRDefault="00AE7D90" w:rsidP="00AE7D90">
      <w:pPr>
        <w:spacing w:after="240"/>
        <w:ind w:right="352"/>
        <w:rPr>
          <w:rFonts w:asciiTheme="majorHAnsi" w:hAnsiTheme="majorHAnsi" w:cstheme="majorHAnsi"/>
          <w:iCs/>
          <w:lang w:val="en-US"/>
        </w:rPr>
      </w:pPr>
      <w:r>
        <w:rPr>
          <w:rFonts w:asciiTheme="majorHAnsi" w:hAnsiTheme="majorHAnsi" w:cstheme="majorHAnsi"/>
          <w:iCs/>
          <w:lang w:val="en-US"/>
        </w:rPr>
        <w:t xml:space="preserve">Once </w:t>
      </w:r>
      <w:r w:rsidRPr="00B359E5">
        <w:rPr>
          <w:rFonts w:asciiTheme="majorHAnsi" w:hAnsiTheme="majorHAnsi" w:cstheme="majorHAnsi"/>
          <w:iCs/>
          <w:lang w:val="en-US"/>
        </w:rPr>
        <w:t>outcomes and design principles were agreed</w:t>
      </w:r>
      <w:r>
        <w:rPr>
          <w:rFonts w:asciiTheme="majorHAnsi" w:hAnsiTheme="majorHAnsi" w:cstheme="majorHAnsi"/>
          <w:iCs/>
          <w:lang w:val="en-US"/>
        </w:rPr>
        <w:t xml:space="preserve"> by HSSPWG</w:t>
      </w:r>
      <w:r w:rsidRPr="00B359E5">
        <w:rPr>
          <w:rFonts w:asciiTheme="majorHAnsi" w:hAnsiTheme="majorHAnsi" w:cstheme="majorHAnsi"/>
          <w:iCs/>
          <w:lang w:val="en-US"/>
        </w:rPr>
        <w:t>, strategies were worked up through collaborative groups, exchanges and consultations.</w:t>
      </w:r>
      <w:r>
        <w:rPr>
          <w:rFonts w:asciiTheme="majorHAnsi" w:hAnsiTheme="majorHAnsi" w:cstheme="majorHAnsi"/>
          <w:iCs/>
          <w:lang w:val="en-US"/>
        </w:rPr>
        <w:t xml:space="preserve"> </w:t>
      </w:r>
      <w:r w:rsidRPr="00B359E5">
        <w:rPr>
          <w:rFonts w:asciiTheme="majorHAnsi" w:hAnsiTheme="majorHAnsi" w:cstheme="majorHAnsi"/>
          <w:iCs/>
          <w:lang w:val="en-US"/>
        </w:rPr>
        <w:t>This diverse input was t</w:t>
      </w:r>
      <w:r>
        <w:rPr>
          <w:rFonts w:asciiTheme="majorHAnsi" w:hAnsiTheme="majorHAnsi" w:cstheme="majorHAnsi"/>
          <w:iCs/>
          <w:lang w:val="en-US"/>
        </w:rPr>
        <w:t>hen assembled in a draft Consultation Table with 17 action areas widely circulated in September 2021</w:t>
      </w:r>
      <w:r w:rsidRPr="00EC1102">
        <w:rPr>
          <w:rFonts w:asciiTheme="majorHAnsi" w:hAnsiTheme="majorHAnsi" w:cstheme="majorHAnsi"/>
          <w:iCs/>
          <w:lang w:val="en-US"/>
        </w:rPr>
        <w:t xml:space="preserve">. Additional webinars were held with the </w:t>
      </w:r>
      <w:r w:rsidRPr="000B0A8A">
        <w:rPr>
          <w:rFonts w:asciiTheme="majorHAnsi" w:hAnsiTheme="majorHAnsi" w:cstheme="majorHAnsi"/>
          <w:iCs/>
          <w:lang w:val="en-US"/>
        </w:rPr>
        <w:t xml:space="preserve">sector in September and October to further </w:t>
      </w:r>
      <w:proofErr w:type="spellStart"/>
      <w:r w:rsidRPr="000B0A8A">
        <w:rPr>
          <w:rFonts w:asciiTheme="majorHAnsi" w:hAnsiTheme="majorHAnsi" w:cstheme="majorHAnsi"/>
          <w:iCs/>
          <w:lang w:val="en-US"/>
        </w:rPr>
        <w:t>socialis</w:t>
      </w:r>
      <w:r>
        <w:rPr>
          <w:rFonts w:asciiTheme="majorHAnsi" w:hAnsiTheme="majorHAnsi" w:cstheme="majorHAnsi"/>
          <w:iCs/>
          <w:lang w:val="en-US"/>
        </w:rPr>
        <w:t>e</w:t>
      </w:r>
      <w:proofErr w:type="spellEnd"/>
      <w:r>
        <w:rPr>
          <w:rFonts w:asciiTheme="majorHAnsi" w:hAnsiTheme="majorHAnsi" w:cstheme="majorHAnsi"/>
          <w:iCs/>
          <w:lang w:val="en-US"/>
        </w:rPr>
        <w:t xml:space="preserve"> these actions</w:t>
      </w:r>
      <w:r w:rsidRPr="000B0A8A">
        <w:rPr>
          <w:rFonts w:asciiTheme="majorHAnsi" w:hAnsiTheme="majorHAnsi" w:cstheme="majorHAnsi"/>
          <w:iCs/>
          <w:lang w:val="en-US"/>
        </w:rPr>
        <w:t>.</w:t>
      </w:r>
      <w:r w:rsidRPr="00EC1102">
        <w:rPr>
          <w:rFonts w:asciiTheme="majorHAnsi" w:hAnsiTheme="majorHAnsi" w:cstheme="majorHAnsi"/>
          <w:iCs/>
          <w:lang w:val="en-US"/>
        </w:rPr>
        <w:t xml:space="preserve">  </w:t>
      </w:r>
      <w:r>
        <w:rPr>
          <w:rFonts w:asciiTheme="majorHAnsi" w:hAnsiTheme="majorHAnsi" w:cstheme="majorHAnsi"/>
          <w:iCs/>
          <w:lang w:val="en-US"/>
        </w:rPr>
        <w:t xml:space="preserve">Feedback was requested and received during September and October by an extended deadline date.  NACCHO distributed a revised set of 17 action areas to the sector on 13 October 2021. </w:t>
      </w:r>
      <w:r w:rsidRPr="00EC1102">
        <w:rPr>
          <w:rFonts w:asciiTheme="majorHAnsi" w:hAnsiTheme="majorHAnsi" w:cstheme="majorHAnsi"/>
          <w:iCs/>
          <w:lang w:val="en-US"/>
        </w:rPr>
        <w:t>The Aboriginal Co-Chair of the HSSPWG also met regularly with the Aboriginal and Torres Strait</w:t>
      </w:r>
      <w:r>
        <w:rPr>
          <w:rFonts w:asciiTheme="majorHAnsi" w:hAnsiTheme="majorHAnsi" w:cstheme="majorHAnsi"/>
          <w:iCs/>
          <w:lang w:val="en-US"/>
        </w:rPr>
        <w:t xml:space="preserve"> Islander Co-Chairs of the other Sector Strengthening Plan Working Groups (Early Childhood Care and Development, Housing and Disability) </w:t>
      </w:r>
      <w:r w:rsidRPr="00B359E5">
        <w:rPr>
          <w:rFonts w:asciiTheme="majorHAnsi" w:hAnsiTheme="majorHAnsi" w:cstheme="minorHAnsi"/>
          <w:spacing w:val="-1"/>
          <w:lang w:val="en-US"/>
        </w:rPr>
        <w:t xml:space="preserve">to facilitate </w:t>
      </w:r>
      <w:r>
        <w:rPr>
          <w:rFonts w:asciiTheme="majorHAnsi" w:hAnsiTheme="majorHAnsi" w:cstheme="minorHAnsi"/>
          <w:spacing w:val="-1"/>
          <w:lang w:val="en-US"/>
        </w:rPr>
        <w:t xml:space="preserve">exchange and </w:t>
      </w:r>
      <w:r w:rsidRPr="00B359E5">
        <w:rPr>
          <w:rFonts w:asciiTheme="majorHAnsi" w:hAnsiTheme="majorHAnsi" w:cstheme="majorHAnsi"/>
          <w:iCs/>
          <w:lang w:val="en-US"/>
        </w:rPr>
        <w:t xml:space="preserve">joined-up efforts to build the community-controlled sector. </w:t>
      </w:r>
    </w:p>
    <w:p w14:paraId="34D63A4D" w14:textId="29CF7888" w:rsidR="00236D1D" w:rsidRDefault="00AE7D90" w:rsidP="00722C2F">
      <w:pPr>
        <w:spacing w:before="0"/>
        <w:rPr>
          <w:rFonts w:asciiTheme="majorHAnsi" w:hAnsiTheme="majorHAnsi" w:cstheme="majorHAnsi"/>
          <w:iCs/>
          <w:lang w:val="en-US"/>
        </w:rPr>
      </w:pPr>
      <w:r w:rsidRPr="00B359E5">
        <w:rPr>
          <w:rFonts w:asciiTheme="majorHAnsi" w:hAnsiTheme="majorHAnsi" w:cstheme="majorHAnsi"/>
          <w:iCs/>
          <w:lang w:val="en-US"/>
        </w:rPr>
        <w:t>Parties to the National Partnership agreed that building strong community-controlled sectors to deliver Closing the Gap services and programs requires national effort and joined up delivery against all sector elements in agreed priorit</w:t>
      </w:r>
      <w:r>
        <w:rPr>
          <w:rFonts w:asciiTheme="majorHAnsi" w:hAnsiTheme="majorHAnsi" w:cstheme="majorHAnsi"/>
          <w:iCs/>
          <w:lang w:val="en-US"/>
        </w:rPr>
        <w:t xml:space="preserve">y areas. </w:t>
      </w:r>
      <w:r w:rsidRPr="00B359E5">
        <w:rPr>
          <w:rFonts w:asciiTheme="majorHAnsi" w:hAnsiTheme="majorHAnsi" w:cstheme="majorHAnsi"/>
          <w:iCs/>
          <w:lang w:val="en-US"/>
        </w:rPr>
        <w:t>Fu</w:t>
      </w:r>
      <w:r>
        <w:rPr>
          <w:rFonts w:asciiTheme="majorHAnsi" w:hAnsiTheme="majorHAnsi" w:cstheme="majorHAnsi"/>
          <w:iCs/>
          <w:lang w:val="en-US"/>
        </w:rPr>
        <w:t xml:space="preserve">rther </w:t>
      </w:r>
      <w:r w:rsidRPr="00B359E5">
        <w:rPr>
          <w:rFonts w:asciiTheme="majorHAnsi" w:hAnsiTheme="majorHAnsi" w:cstheme="majorHAnsi"/>
          <w:iCs/>
          <w:lang w:val="en-US"/>
        </w:rPr>
        <w:t xml:space="preserve">details including </w:t>
      </w:r>
      <w:r>
        <w:rPr>
          <w:rFonts w:asciiTheme="majorHAnsi" w:hAnsiTheme="majorHAnsi" w:cstheme="majorHAnsi"/>
          <w:iCs/>
          <w:lang w:val="en-US"/>
        </w:rPr>
        <w:t xml:space="preserve">correspondence, </w:t>
      </w:r>
      <w:r w:rsidRPr="00B359E5">
        <w:rPr>
          <w:rFonts w:asciiTheme="majorHAnsi" w:hAnsiTheme="majorHAnsi" w:cstheme="majorHAnsi"/>
          <w:iCs/>
          <w:lang w:val="en-US"/>
        </w:rPr>
        <w:t xml:space="preserve">chronologies and </w:t>
      </w:r>
      <w:r>
        <w:rPr>
          <w:rFonts w:asciiTheme="majorHAnsi" w:hAnsiTheme="majorHAnsi" w:cstheme="majorHAnsi"/>
          <w:iCs/>
          <w:lang w:val="en-US"/>
        </w:rPr>
        <w:t xml:space="preserve">records of meetings </w:t>
      </w:r>
      <w:r w:rsidRPr="00B359E5">
        <w:rPr>
          <w:rFonts w:asciiTheme="majorHAnsi" w:hAnsiTheme="majorHAnsi" w:cstheme="majorHAnsi"/>
          <w:iCs/>
          <w:lang w:val="en-US"/>
        </w:rPr>
        <w:t xml:space="preserve">are available from NACCHO.  </w:t>
      </w:r>
    </w:p>
    <w:p w14:paraId="7BBFA9BE" w14:textId="02DFCCEC" w:rsidR="00236D1D" w:rsidRDefault="00236D1D" w:rsidP="00722C2F">
      <w:pPr>
        <w:spacing w:before="0"/>
        <w:rPr>
          <w:rFonts w:asciiTheme="majorHAnsi" w:hAnsiTheme="majorHAnsi" w:cstheme="majorHAnsi"/>
          <w:iCs/>
          <w:lang w:val="en-US"/>
        </w:rPr>
      </w:pPr>
    </w:p>
    <w:p w14:paraId="5EC5269D" w14:textId="4C674DAC" w:rsidR="00236D1D" w:rsidRDefault="00236D1D" w:rsidP="00722C2F">
      <w:pPr>
        <w:spacing w:before="0"/>
        <w:rPr>
          <w:rFonts w:asciiTheme="majorHAnsi" w:hAnsiTheme="majorHAnsi" w:cstheme="majorHAnsi"/>
          <w:iCs/>
          <w:lang w:val="en-US"/>
        </w:rPr>
      </w:pPr>
    </w:p>
    <w:p w14:paraId="321B9AE6" w14:textId="6812341B" w:rsidR="00236D1D" w:rsidRDefault="00236D1D" w:rsidP="00722C2F">
      <w:pPr>
        <w:spacing w:before="0"/>
        <w:rPr>
          <w:rFonts w:asciiTheme="majorHAnsi" w:hAnsiTheme="majorHAnsi" w:cstheme="majorHAnsi"/>
          <w:iCs/>
          <w:lang w:val="en-US"/>
        </w:rPr>
      </w:pPr>
    </w:p>
    <w:p w14:paraId="692BA67A" w14:textId="67BF4332" w:rsidR="00236D1D" w:rsidRDefault="00236D1D" w:rsidP="00036CD7">
      <w:pPr>
        <w:pStyle w:val="h2"/>
      </w:pPr>
      <w:bookmarkStart w:id="62" w:name="_Toc88818208"/>
      <w:r w:rsidRPr="00236D1D">
        <w:lastRenderedPageBreak/>
        <w:t>ADDENDUM – E</w:t>
      </w:r>
      <w:r>
        <w:t>mployment</w:t>
      </w:r>
      <w:bookmarkEnd w:id="62"/>
    </w:p>
    <w:p w14:paraId="4362E3FE" w14:textId="5A5D7E43" w:rsidR="00236D1D" w:rsidRPr="00036CD7" w:rsidRDefault="00AE7D90" w:rsidP="00036CD7">
      <w:pPr>
        <w:spacing w:after="240"/>
        <w:ind w:right="352"/>
        <w:rPr>
          <w:rFonts w:asciiTheme="majorHAnsi" w:hAnsiTheme="majorHAnsi" w:cstheme="majorHAnsi"/>
          <w:iCs/>
          <w:lang w:val="en-US"/>
        </w:rPr>
      </w:pPr>
      <w:r w:rsidRPr="00C44A6E">
        <w:rPr>
          <w:rFonts w:asciiTheme="majorHAnsi" w:hAnsiTheme="majorHAnsi" w:cstheme="majorHAnsi"/>
          <w:iCs/>
          <w:lang w:val="en-US"/>
        </w:rPr>
        <w:t xml:space="preserve">The HSSPWG considered the importance of creating meaningful employment for Aboriginal and Torres Strait Islander people through implementation of the Health-SSP but has been unable to estimate with confidence how many jobs will be created and the type of employment security to be offered.  Baseline measures for 2017-2018 for the numbers (FTE) of Aboriginal and Torres Strait Islander people employed in ACCHSs are available in Figure 3.12.3 of the latest Indigenous Health Performance Framework (2021).  Under data development to support Priority Reform 2, the parties to the National Agreement have agreed to explore options to measure and report the proportion of Aboriginal and Torres Strait Islander people employed in community-controlled </w:t>
      </w:r>
      <w:proofErr w:type="spellStart"/>
      <w:r w:rsidRPr="00C44A6E">
        <w:rPr>
          <w:rFonts w:asciiTheme="majorHAnsi" w:hAnsiTheme="majorHAnsi" w:cstheme="majorHAnsi"/>
          <w:iCs/>
          <w:lang w:val="en-US"/>
        </w:rPr>
        <w:t>organisations</w:t>
      </w:r>
      <w:proofErr w:type="spellEnd"/>
      <w:r w:rsidRPr="00C44A6E">
        <w:rPr>
          <w:rFonts w:asciiTheme="majorHAnsi" w:hAnsiTheme="majorHAnsi" w:cstheme="majorHAnsi"/>
          <w:iCs/>
          <w:lang w:val="en-US"/>
        </w:rPr>
        <w:t xml:space="preserve"> including health (p. 18).</w:t>
      </w:r>
    </w:p>
    <w:p w14:paraId="5ED2E73C" w14:textId="0778EE60" w:rsidR="00036CD7" w:rsidRDefault="00036CD7">
      <w:pPr>
        <w:spacing w:before="0"/>
        <w:rPr>
          <w:lang w:val="en-US"/>
        </w:rPr>
      </w:pPr>
      <w:r>
        <w:rPr>
          <w:lang w:val="en-US"/>
        </w:rPr>
        <w:br w:type="page"/>
      </w:r>
    </w:p>
    <w:p w14:paraId="2027D9EF" w14:textId="77777777" w:rsidR="00236D1D" w:rsidRPr="00AA3074" w:rsidRDefault="00236D1D" w:rsidP="00036CD7">
      <w:pPr>
        <w:pStyle w:val="h2"/>
      </w:pPr>
      <w:bookmarkStart w:id="63" w:name="_Toc88818209"/>
      <w:r w:rsidRPr="00AA3074">
        <w:lastRenderedPageBreak/>
        <w:t>REFERENCES</w:t>
      </w:r>
      <w:bookmarkEnd w:id="63"/>
    </w:p>
    <w:p w14:paraId="167AEC82" w14:textId="77777777" w:rsidR="00AE7D90" w:rsidRPr="00AA3074" w:rsidRDefault="00AE7D90" w:rsidP="00AE7D90">
      <w:pPr>
        <w:rPr>
          <w:rFonts w:ascii="Calibri Light" w:hAnsi="Calibri Light" w:cs="Calibri Light"/>
          <w:lang w:val="en-US"/>
        </w:rPr>
      </w:pPr>
      <w:r w:rsidRPr="00AA3074">
        <w:rPr>
          <w:rFonts w:ascii="Calibri Light" w:hAnsi="Calibri Light" w:cs="Calibri Light"/>
          <w:lang w:val="en-US"/>
        </w:rPr>
        <w:t xml:space="preserve">ACEM (Australian College of Emergency Medicine) (2018) </w:t>
      </w:r>
      <w:hyperlink r:id="rId19" w:history="1">
        <w:r w:rsidRPr="00AA3074">
          <w:rPr>
            <w:rStyle w:val="Hyperlink"/>
            <w:rFonts w:ascii="Calibri Light" w:hAnsi="Calibri Light" w:cs="Calibri Light"/>
            <w:lang w:val="en-US"/>
          </w:rPr>
          <w:t xml:space="preserve">Waiting Times in the Emergency Department for People with Acute Mental and </w:t>
        </w:r>
        <w:proofErr w:type="spellStart"/>
        <w:r w:rsidRPr="00AA3074">
          <w:rPr>
            <w:rStyle w:val="Hyperlink"/>
            <w:rFonts w:ascii="Calibri Light" w:hAnsi="Calibri Light" w:cs="Calibri Light"/>
            <w:lang w:val="en-US"/>
          </w:rPr>
          <w:t>Behavioural</w:t>
        </w:r>
        <w:proofErr w:type="spellEnd"/>
        <w:r w:rsidRPr="00AA3074">
          <w:rPr>
            <w:rStyle w:val="Hyperlink"/>
            <w:rFonts w:ascii="Calibri Light" w:hAnsi="Calibri Light" w:cs="Calibri Light"/>
            <w:lang w:val="en-US"/>
          </w:rPr>
          <w:t xml:space="preserve"> Conditions</w:t>
        </w:r>
      </w:hyperlink>
      <w:r w:rsidRPr="00AA3074">
        <w:rPr>
          <w:rFonts w:ascii="Calibri Light" w:hAnsi="Calibri Light" w:cs="Calibri Light"/>
          <w:lang w:val="en-US"/>
        </w:rPr>
        <w:t>, ACEM website, accessed 1 September 2021.</w:t>
      </w:r>
    </w:p>
    <w:p w14:paraId="04CFF532" w14:textId="77777777" w:rsidR="00AE7D90" w:rsidRPr="00AA3074" w:rsidRDefault="00AE7D90" w:rsidP="00AE7D90">
      <w:pPr>
        <w:rPr>
          <w:rFonts w:ascii="Calibri Light" w:hAnsi="Calibri Light" w:cs="Calibri Light"/>
        </w:rPr>
      </w:pPr>
      <w:r w:rsidRPr="00AA3074">
        <w:rPr>
          <w:rFonts w:ascii="Calibri Light" w:hAnsi="Calibri Light" w:cs="Calibri Light"/>
        </w:rPr>
        <w:t>AIHW (Australian Government Australian Institute of Health and Welfare) (2015) The health and welfare of Australia’s Aboriginal and Torres Strait Islander peoples: 2015, catalogue number IHW 147, AIHW website, doi:10.25816/5ebcbd26fa7e4.</w:t>
      </w:r>
    </w:p>
    <w:p w14:paraId="38FE3AF5" w14:textId="77777777" w:rsidR="00AE7D90" w:rsidRPr="00AA3074" w:rsidRDefault="00AE7D90" w:rsidP="00AE7D90">
      <w:pPr>
        <w:rPr>
          <w:rFonts w:ascii="Calibri Light" w:hAnsi="Calibri Light" w:cs="Calibri Light"/>
        </w:rPr>
      </w:pPr>
      <w:r w:rsidRPr="00AA3074">
        <w:rPr>
          <w:rFonts w:ascii="Calibri Light" w:hAnsi="Calibri Light" w:cs="Calibri Light"/>
        </w:rPr>
        <w:t xml:space="preserve">—— (2019) </w:t>
      </w:r>
      <w:hyperlink r:id="rId20" w:history="1">
        <w:r w:rsidRPr="00AA3074">
          <w:rPr>
            <w:rStyle w:val="Hyperlink"/>
            <w:rFonts w:ascii="Calibri Light" w:hAnsi="Calibri Light" w:cs="Calibri Light"/>
          </w:rPr>
          <w:t>Injury of Aboriginal and Torres Strait Islander people due to transport, 2010–11 to 2014–15</w:t>
        </w:r>
      </w:hyperlink>
      <w:r w:rsidRPr="00AA3074">
        <w:rPr>
          <w:rFonts w:ascii="Calibri Light" w:hAnsi="Calibri Light" w:cs="Calibri Light"/>
        </w:rPr>
        <w:t>, catalogue number INJCAT 179, AIHW website, accessed 1 September 2021.</w:t>
      </w:r>
    </w:p>
    <w:p w14:paraId="0C28A0E6" w14:textId="77777777" w:rsidR="00AE7D90" w:rsidRPr="00AA3074" w:rsidRDefault="00AE7D90" w:rsidP="00AE7D90">
      <w:pPr>
        <w:rPr>
          <w:rFonts w:ascii="Calibri Light" w:hAnsi="Calibri Light" w:cs="Calibri Light"/>
        </w:rPr>
      </w:pPr>
      <w:r w:rsidRPr="00AA3074">
        <w:rPr>
          <w:rFonts w:ascii="Calibri Light" w:hAnsi="Calibri Light" w:cs="Calibri Light"/>
        </w:rPr>
        <w:t xml:space="preserve">—— (2020a) </w:t>
      </w:r>
      <w:hyperlink r:id="rId21" w:history="1">
        <w:r w:rsidRPr="00AA3074">
          <w:rPr>
            <w:rStyle w:val="Hyperlink"/>
            <w:rFonts w:ascii="Calibri Light" w:hAnsi="Calibri Light" w:cs="Calibri Light"/>
          </w:rPr>
          <w:t>Indigenous health and wellbeing</w:t>
        </w:r>
      </w:hyperlink>
      <w:r w:rsidRPr="00AA3074">
        <w:rPr>
          <w:rFonts w:ascii="Calibri Light" w:hAnsi="Calibri Light" w:cs="Calibri Light"/>
        </w:rPr>
        <w:t xml:space="preserve">, AIHW website, accessed 1 September 2021. </w:t>
      </w:r>
    </w:p>
    <w:p w14:paraId="0DB14D82" w14:textId="77777777" w:rsidR="00AE7D90" w:rsidRDefault="00AE7D90" w:rsidP="00AE7D90">
      <w:pPr>
        <w:rPr>
          <w:rFonts w:ascii="Calibri Light" w:hAnsi="Calibri Light" w:cs="Calibri Light"/>
        </w:rPr>
      </w:pPr>
      <w:r w:rsidRPr="00AA3074">
        <w:rPr>
          <w:rFonts w:ascii="Calibri Light" w:hAnsi="Calibri Light" w:cs="Calibri Light"/>
        </w:rPr>
        <w:t>—— (2020b) ‘</w:t>
      </w:r>
      <w:hyperlink r:id="rId22" w:history="1">
        <w:r w:rsidRPr="00AA3074">
          <w:rPr>
            <w:rStyle w:val="Hyperlink"/>
            <w:rFonts w:ascii="Calibri Light" w:hAnsi="Calibri Light" w:cs="Calibri Light"/>
          </w:rPr>
          <w:t>Leading causes of mortality</w:t>
        </w:r>
      </w:hyperlink>
      <w:r w:rsidRPr="00AA3074">
        <w:rPr>
          <w:rFonts w:ascii="Calibri Light" w:hAnsi="Calibri Light" w:cs="Calibri Light"/>
        </w:rPr>
        <w:t>’, Aboriginal and Torres Strait Islander Health Performance Framework 2020, indigenoushpf.gov.au, accessed 1 September 2021.</w:t>
      </w:r>
    </w:p>
    <w:p w14:paraId="65F71F4F" w14:textId="77777777" w:rsidR="00AE7D90" w:rsidRPr="001419F3" w:rsidRDefault="00AE7D90" w:rsidP="00AE7D90">
      <w:pPr>
        <w:rPr>
          <w:rFonts w:ascii="Calibri Light" w:hAnsi="Calibri Light" w:cs="Calibri Light"/>
        </w:rPr>
      </w:pPr>
      <w:r w:rsidRPr="001419F3">
        <w:rPr>
          <w:rFonts w:ascii="Calibri Light" w:hAnsi="Calibri Light" w:cs="Calibri Light"/>
        </w:rPr>
        <w:t>—— (2021a) Australian Burden of Disease Study 2018: key findings for Aboriginal and Torres Strait Islander people, catalogue number DOD 28, AIHW website, doi:10.25816/ybxc-e104.</w:t>
      </w:r>
    </w:p>
    <w:p w14:paraId="5479048C" w14:textId="77777777" w:rsidR="00AE7D90" w:rsidRPr="00AA3074" w:rsidRDefault="00AE7D90" w:rsidP="00AE7D90">
      <w:pPr>
        <w:rPr>
          <w:rFonts w:ascii="Calibri Light" w:hAnsi="Calibri Light" w:cs="Calibri Light"/>
        </w:rPr>
      </w:pPr>
      <w:r w:rsidRPr="00AA3074">
        <w:rPr>
          <w:rFonts w:ascii="Calibri Light" w:hAnsi="Calibri Light" w:cs="Calibri Light"/>
        </w:rPr>
        <w:t>—— (2021</w:t>
      </w:r>
      <w:r>
        <w:rPr>
          <w:rFonts w:ascii="Calibri Light" w:hAnsi="Calibri Light" w:cs="Calibri Light"/>
        </w:rPr>
        <w:t>b</w:t>
      </w:r>
      <w:r w:rsidRPr="00AA3074">
        <w:rPr>
          <w:rFonts w:ascii="Calibri Light" w:hAnsi="Calibri Light" w:cs="Calibri Light"/>
        </w:rPr>
        <w:t xml:space="preserve">) </w:t>
      </w:r>
      <w:hyperlink r:id="rId23" w:history="1">
        <w:r w:rsidRPr="00AA3074">
          <w:rPr>
            <w:rStyle w:val="Hyperlink"/>
            <w:rFonts w:ascii="Calibri Light" w:hAnsi="Calibri Light" w:cs="Calibri Light"/>
          </w:rPr>
          <w:t xml:space="preserve">Aboriginal and Torres Strait Islander specific primary health care: results from the </w:t>
        </w:r>
        <w:proofErr w:type="spellStart"/>
        <w:r w:rsidRPr="00AA3074">
          <w:rPr>
            <w:rStyle w:val="Hyperlink"/>
            <w:rFonts w:ascii="Calibri Light" w:hAnsi="Calibri Light" w:cs="Calibri Light"/>
          </w:rPr>
          <w:t>nKPI</w:t>
        </w:r>
        <w:proofErr w:type="spellEnd"/>
        <w:r w:rsidRPr="00AA3074">
          <w:rPr>
            <w:rStyle w:val="Hyperlink"/>
            <w:rFonts w:ascii="Calibri Light" w:hAnsi="Calibri Light" w:cs="Calibri Light"/>
          </w:rPr>
          <w:t xml:space="preserve"> and OSR collections</w:t>
        </w:r>
      </w:hyperlink>
      <w:r w:rsidRPr="00AA3074">
        <w:rPr>
          <w:rFonts w:ascii="Calibri Light" w:hAnsi="Calibri Light" w:cs="Calibri Light"/>
        </w:rPr>
        <w:t xml:space="preserve">, AIHW website, accessed 1 September 2021. </w:t>
      </w:r>
    </w:p>
    <w:p w14:paraId="41B04973" w14:textId="77777777" w:rsidR="00AE7D90" w:rsidRPr="00AA3074" w:rsidRDefault="00AE7D90" w:rsidP="00AE7D90">
      <w:pPr>
        <w:rPr>
          <w:rFonts w:ascii="Calibri Light" w:hAnsi="Calibri Light" w:cs="Calibri Light"/>
        </w:rPr>
      </w:pPr>
      <w:r w:rsidRPr="00AA3074">
        <w:rPr>
          <w:rFonts w:ascii="Calibri Light" w:hAnsi="Calibri Light" w:cs="Calibri Light"/>
        </w:rPr>
        <w:t xml:space="preserve">AHMAC (Australian Health Ministers’ Advisory Council) (2017) </w:t>
      </w:r>
      <w:hyperlink r:id="rId24" w:history="1">
        <w:r w:rsidRPr="00AA3074">
          <w:rPr>
            <w:rStyle w:val="Hyperlink"/>
            <w:rFonts w:ascii="Calibri Light" w:hAnsi="Calibri Light" w:cs="Calibri Light"/>
          </w:rPr>
          <w:t>Aboriginal and Torres Strait Islander Health Performance Framework 2017 Report</w:t>
        </w:r>
      </w:hyperlink>
      <w:r w:rsidRPr="00AA3074">
        <w:rPr>
          <w:rFonts w:ascii="Calibri Light" w:hAnsi="Calibri Light" w:cs="Calibri Light"/>
        </w:rPr>
        <w:t>, NIAA website, accessed 1 September 2021.</w:t>
      </w:r>
    </w:p>
    <w:p w14:paraId="22FE8B68" w14:textId="77777777" w:rsidR="00AE7D90" w:rsidRPr="00AA3074" w:rsidRDefault="00AE7D90" w:rsidP="00AE7D90">
      <w:pPr>
        <w:rPr>
          <w:rFonts w:ascii="Calibri Light" w:hAnsi="Calibri Light" w:cs="Calibri Light"/>
          <w:lang w:val="en-US"/>
        </w:rPr>
      </w:pPr>
      <w:r w:rsidRPr="00AA3074">
        <w:rPr>
          <w:rFonts w:ascii="Calibri Light" w:hAnsi="Calibri Light" w:cs="Calibri Light"/>
        </w:rPr>
        <w:t>AMA (</w:t>
      </w:r>
      <w:r w:rsidRPr="00AA3074">
        <w:rPr>
          <w:rFonts w:ascii="Calibri Light" w:hAnsi="Calibri Light" w:cs="Calibri Light"/>
          <w:lang w:val="en-US"/>
        </w:rPr>
        <w:t xml:space="preserve">Australian Medical Association) (2018) </w:t>
      </w:r>
      <w:hyperlink r:id="rId25" w:history="1">
        <w:r w:rsidRPr="00AA3074">
          <w:rPr>
            <w:rStyle w:val="Hyperlink"/>
            <w:rFonts w:ascii="Calibri Light" w:hAnsi="Calibri Light" w:cs="Calibri Light"/>
            <w:lang w:val="en-US"/>
          </w:rPr>
          <w:t>2018 AMA Report Card on Indigenous Health</w:t>
        </w:r>
      </w:hyperlink>
      <w:r w:rsidRPr="00AA3074">
        <w:rPr>
          <w:rFonts w:ascii="Calibri Light" w:hAnsi="Calibri Light" w:cs="Calibri Light"/>
          <w:lang w:val="en-US"/>
        </w:rPr>
        <w:t xml:space="preserve">, </w:t>
      </w:r>
      <w:r w:rsidRPr="00AA3074">
        <w:rPr>
          <w:rFonts w:ascii="Calibri Light" w:hAnsi="Calibri Light" w:cs="Calibri Light"/>
        </w:rPr>
        <w:t xml:space="preserve">AMA website, accessed 1 September 2021. </w:t>
      </w:r>
    </w:p>
    <w:p w14:paraId="1A36EB53" w14:textId="77777777" w:rsidR="00AE7D90" w:rsidRPr="00AA3074" w:rsidRDefault="00AE7D90" w:rsidP="00AE7D90">
      <w:pPr>
        <w:rPr>
          <w:rFonts w:ascii="Calibri Light" w:hAnsi="Calibri Light" w:cs="Calibri Light"/>
        </w:rPr>
      </w:pPr>
      <w:r w:rsidRPr="00AA3074">
        <w:rPr>
          <w:rFonts w:ascii="Calibri Light" w:hAnsi="Calibri Light" w:cs="Calibri Light"/>
        </w:rPr>
        <w:t xml:space="preserve">Campbell MA, Hunt J, </w:t>
      </w:r>
      <w:proofErr w:type="spellStart"/>
      <w:r w:rsidRPr="00AA3074">
        <w:rPr>
          <w:rFonts w:ascii="Calibri Light" w:hAnsi="Calibri Light" w:cs="Calibri Light"/>
        </w:rPr>
        <w:t>Scrimgeour</w:t>
      </w:r>
      <w:proofErr w:type="spellEnd"/>
      <w:r w:rsidRPr="00AA3074">
        <w:rPr>
          <w:rFonts w:ascii="Calibri Light" w:hAnsi="Calibri Light" w:cs="Calibri Light"/>
        </w:rPr>
        <w:t xml:space="preserve"> DJ, Davey M, Jones V (2018) ‘Contribution of Aboriginal Community-Controlled Health Services to improving Aboriginal health: an evidence review’, Australian Health Review, 42(2):218-226. doi:10.1071/AH16149. </w:t>
      </w:r>
    </w:p>
    <w:p w14:paraId="47EEA120" w14:textId="77777777" w:rsidR="00AE7D90" w:rsidRPr="00AA3074" w:rsidRDefault="00AE7D90" w:rsidP="00AE7D90">
      <w:pPr>
        <w:rPr>
          <w:rFonts w:ascii="Calibri Light" w:hAnsi="Calibri Light" w:cs="Calibri Light"/>
        </w:rPr>
      </w:pPr>
      <w:r w:rsidRPr="00AA3074">
        <w:rPr>
          <w:rFonts w:ascii="Calibri Light" w:hAnsi="Calibri Light" w:cs="Calibri Light"/>
        </w:rPr>
        <w:t>Coles (</w:t>
      </w:r>
      <w:proofErr w:type="spellStart"/>
      <w:r w:rsidRPr="00AA3074">
        <w:rPr>
          <w:rFonts w:ascii="Calibri Light" w:hAnsi="Calibri Light" w:cs="Calibri Light"/>
        </w:rPr>
        <w:t>n.d.</w:t>
      </w:r>
      <w:proofErr w:type="spellEnd"/>
      <w:r w:rsidRPr="00AA3074">
        <w:rPr>
          <w:rFonts w:ascii="Calibri Light" w:hAnsi="Calibri Light" w:cs="Calibri Light"/>
        </w:rPr>
        <w:t xml:space="preserve">) </w:t>
      </w:r>
      <w:hyperlink r:id="rId26" w:history="1">
        <w:r w:rsidRPr="00AA3074">
          <w:rPr>
            <w:rStyle w:val="Hyperlink"/>
            <w:rFonts w:ascii="Calibri Light" w:hAnsi="Calibri Light" w:cs="Calibri Light"/>
          </w:rPr>
          <w:t>Better Together</w:t>
        </w:r>
      </w:hyperlink>
      <w:r w:rsidRPr="00AA3074">
        <w:rPr>
          <w:rFonts w:ascii="Calibri Light" w:hAnsi="Calibri Light" w:cs="Calibri Light"/>
        </w:rPr>
        <w:t>, Coles website, accessed 1 September 2021.</w:t>
      </w:r>
    </w:p>
    <w:p w14:paraId="28A81787" w14:textId="77777777" w:rsidR="00AE7D90" w:rsidRPr="00AA3074" w:rsidRDefault="00AE7D90" w:rsidP="00AE7D90">
      <w:pPr>
        <w:rPr>
          <w:rFonts w:ascii="Calibri Light" w:hAnsi="Calibri Light" w:cs="Calibri Light"/>
        </w:rPr>
      </w:pPr>
      <w:proofErr w:type="spellStart"/>
      <w:r w:rsidRPr="00AA3074">
        <w:rPr>
          <w:rFonts w:ascii="Calibri Light" w:hAnsi="Calibri Light" w:cs="Calibri Light"/>
        </w:rPr>
        <w:t>DoH</w:t>
      </w:r>
      <w:proofErr w:type="spellEnd"/>
      <w:r w:rsidRPr="00AA3074">
        <w:rPr>
          <w:rFonts w:ascii="Calibri Light" w:hAnsi="Calibri Light" w:cs="Calibri Light"/>
        </w:rPr>
        <w:t xml:space="preserve"> (Australian Government Department of Health) (2017) </w:t>
      </w:r>
      <w:hyperlink r:id="rId27" w:history="1">
        <w:r w:rsidRPr="00AA3074">
          <w:rPr>
            <w:rStyle w:val="Hyperlink"/>
            <w:rFonts w:ascii="Calibri Light" w:hAnsi="Calibri Light" w:cs="Calibri Light"/>
          </w:rPr>
          <w:t>My Life My Lead - Opportunities for strengthening approaches to the social determinants and cultural determinants of Indigenous health: Report on the national consultations December 2017</w:t>
        </w:r>
      </w:hyperlink>
      <w:r w:rsidRPr="00AA3074">
        <w:rPr>
          <w:rFonts w:ascii="Calibri Light" w:hAnsi="Calibri Light" w:cs="Calibri Light"/>
        </w:rPr>
        <w:t xml:space="preserve">, </w:t>
      </w:r>
      <w:proofErr w:type="spellStart"/>
      <w:r w:rsidRPr="00AA3074">
        <w:rPr>
          <w:rFonts w:ascii="Calibri Light" w:hAnsi="Calibri Light" w:cs="Calibri Light"/>
        </w:rPr>
        <w:t>DoH</w:t>
      </w:r>
      <w:proofErr w:type="spellEnd"/>
      <w:r w:rsidRPr="00AA3074">
        <w:rPr>
          <w:rFonts w:ascii="Calibri Light" w:hAnsi="Calibri Light" w:cs="Calibri Light"/>
        </w:rPr>
        <w:t xml:space="preserve"> website, accessed 1 September 2021.</w:t>
      </w:r>
    </w:p>
    <w:p w14:paraId="539B53C8" w14:textId="77777777" w:rsidR="00AE7D90" w:rsidRPr="00AA3074" w:rsidRDefault="00AE7D90" w:rsidP="00AE7D90">
      <w:pPr>
        <w:rPr>
          <w:rFonts w:ascii="Calibri Light" w:hAnsi="Calibri Light" w:cs="Calibri Light"/>
        </w:rPr>
      </w:pPr>
      <w:r w:rsidRPr="00AA3074">
        <w:rPr>
          <w:rFonts w:ascii="Calibri Light" w:hAnsi="Calibri Light" w:cs="Calibri Light"/>
        </w:rPr>
        <w:t>Emerson L, Fox S and Smith C (2015), </w:t>
      </w:r>
      <w:hyperlink r:id="rId28" w:history="1">
        <w:r w:rsidRPr="00AA3074">
          <w:rPr>
            <w:rStyle w:val="Hyperlink"/>
            <w:rFonts w:ascii="Calibri Light" w:hAnsi="Calibri Light" w:cs="Calibri Light"/>
          </w:rPr>
          <w:t>Good Beginnings: Getting it right in the early years</w:t>
        </w:r>
      </w:hyperlink>
      <w:r w:rsidRPr="00AA3074">
        <w:rPr>
          <w:rFonts w:ascii="Calibri Light" w:hAnsi="Calibri Light" w:cs="Calibri Light"/>
        </w:rPr>
        <w:t xml:space="preserve">, The </w:t>
      </w:r>
      <w:proofErr w:type="spellStart"/>
      <w:r w:rsidRPr="00AA3074">
        <w:rPr>
          <w:rFonts w:ascii="Calibri Light" w:hAnsi="Calibri Light" w:cs="Calibri Light"/>
        </w:rPr>
        <w:t>Lowitja</w:t>
      </w:r>
      <w:proofErr w:type="spellEnd"/>
      <w:r w:rsidRPr="00AA3074">
        <w:rPr>
          <w:rFonts w:ascii="Calibri Light" w:hAnsi="Calibri Light" w:cs="Calibri Light"/>
        </w:rPr>
        <w:t xml:space="preserve"> Institute, Melbourne.</w:t>
      </w:r>
    </w:p>
    <w:p w14:paraId="08EA1346" w14:textId="77777777" w:rsidR="00AE7D90" w:rsidRPr="00AA3074" w:rsidRDefault="00AE7D90" w:rsidP="00AE7D90">
      <w:pPr>
        <w:rPr>
          <w:rFonts w:ascii="Calibri Light" w:hAnsi="Calibri Light" w:cs="Calibri Light"/>
        </w:rPr>
      </w:pPr>
      <w:r w:rsidRPr="00AA3074">
        <w:rPr>
          <w:rFonts w:ascii="Calibri Light" w:hAnsi="Calibri Light" w:cs="Calibri Light"/>
        </w:rPr>
        <w:t xml:space="preserve">Ma GC and Ward JE (2020) ‘Location and primary health care reform’, The Medical Journal of Australia, 213 (3), doi:10.5694/mja2.50675. </w:t>
      </w:r>
    </w:p>
    <w:p w14:paraId="16F22253" w14:textId="77777777" w:rsidR="00AE7D90" w:rsidRPr="00AA3074" w:rsidRDefault="00AE7D90" w:rsidP="00AE7D90">
      <w:pPr>
        <w:rPr>
          <w:rFonts w:ascii="Calibri Light" w:hAnsi="Calibri Light" w:cs="Calibri Light"/>
        </w:rPr>
      </w:pPr>
      <w:proofErr w:type="spellStart"/>
      <w:r w:rsidRPr="00AA3074">
        <w:rPr>
          <w:rFonts w:ascii="Calibri Light" w:hAnsi="Calibri Light" w:cs="Calibri Light"/>
        </w:rPr>
        <w:t>Myott</w:t>
      </w:r>
      <w:proofErr w:type="spellEnd"/>
      <w:r w:rsidRPr="00AA3074">
        <w:rPr>
          <w:rFonts w:ascii="Calibri Light" w:hAnsi="Calibri Light" w:cs="Calibri Light"/>
        </w:rPr>
        <w:t xml:space="preserve"> P, Martini A and Dwyer J (2015) </w:t>
      </w:r>
      <w:proofErr w:type="spellStart"/>
      <w:r w:rsidR="00E5531D">
        <w:fldChar w:fldCharType="begin"/>
      </w:r>
      <w:r w:rsidR="00E5531D">
        <w:instrText xml:space="preserve"> HYPERLINK "https://www.lowitja.org.au/content/Document/Lowitja-Publishing/FAR-Miwatj.pdf" </w:instrText>
      </w:r>
      <w:r w:rsidR="00E5531D">
        <w:fldChar w:fldCharType="separate"/>
      </w:r>
      <w:r w:rsidRPr="00AA3074">
        <w:rPr>
          <w:rStyle w:val="Hyperlink"/>
          <w:rFonts w:ascii="Calibri Light" w:hAnsi="Calibri Light" w:cs="Calibri Light"/>
        </w:rPr>
        <w:t>Miwatj</w:t>
      </w:r>
      <w:proofErr w:type="spellEnd"/>
      <w:r w:rsidRPr="00AA3074">
        <w:rPr>
          <w:rStyle w:val="Hyperlink"/>
          <w:rFonts w:ascii="Calibri Light" w:hAnsi="Calibri Light" w:cs="Calibri Light"/>
        </w:rPr>
        <w:t xml:space="preserve"> and East Arnhem: Case study</w:t>
      </w:r>
      <w:r w:rsidR="00E5531D">
        <w:rPr>
          <w:rStyle w:val="Hyperlink"/>
          <w:rFonts w:ascii="Calibri Light" w:hAnsi="Calibri Light" w:cs="Calibri Light"/>
        </w:rPr>
        <w:fldChar w:fldCharType="end"/>
      </w:r>
      <w:r w:rsidRPr="00AA3074">
        <w:rPr>
          <w:rFonts w:ascii="Calibri Light" w:hAnsi="Calibri Light" w:cs="Calibri Light"/>
        </w:rPr>
        <w:t xml:space="preserve">, The </w:t>
      </w:r>
      <w:proofErr w:type="spellStart"/>
      <w:r w:rsidRPr="00AA3074">
        <w:rPr>
          <w:rFonts w:ascii="Calibri Light" w:hAnsi="Calibri Light" w:cs="Calibri Light"/>
        </w:rPr>
        <w:t>Lowitja</w:t>
      </w:r>
      <w:proofErr w:type="spellEnd"/>
      <w:r w:rsidRPr="00AA3074">
        <w:rPr>
          <w:rFonts w:ascii="Calibri Light" w:hAnsi="Calibri Light" w:cs="Calibri Light"/>
        </w:rPr>
        <w:t xml:space="preserve"> Institute, Melbourne.</w:t>
      </w:r>
    </w:p>
    <w:p w14:paraId="621B7EFA" w14:textId="77777777" w:rsidR="00AE7D90" w:rsidRPr="00AA3074" w:rsidRDefault="00AE7D90" w:rsidP="00AE7D90">
      <w:pPr>
        <w:rPr>
          <w:rFonts w:ascii="Calibri Light" w:hAnsi="Calibri Light" w:cs="Calibri Light"/>
        </w:rPr>
      </w:pPr>
      <w:r w:rsidRPr="00AA3074">
        <w:rPr>
          <w:rFonts w:ascii="Calibri Light" w:hAnsi="Calibri Light" w:cs="Calibri Light"/>
        </w:rPr>
        <w:t>NACCHO (National Aboriginal Community Controlled Health Organisation) (2021) Core Services and Outcomes Framework: The Model of Aboriginal and Torres Strait Islander Community-Controlled Comprehensive Primary Health Care, NACCHO, Canberra.</w:t>
      </w:r>
    </w:p>
    <w:p w14:paraId="53E318D5" w14:textId="77777777" w:rsidR="00AE7D90" w:rsidRPr="00AA3074" w:rsidRDefault="00AE7D90" w:rsidP="00AE7D90">
      <w:pPr>
        <w:rPr>
          <w:rFonts w:ascii="Calibri Light" w:hAnsi="Calibri Light" w:cs="Calibri Light"/>
        </w:rPr>
      </w:pPr>
      <w:r w:rsidRPr="00AA3074">
        <w:rPr>
          <w:rFonts w:ascii="Calibri Light" w:hAnsi="Calibri Light" w:cs="Calibri Light"/>
        </w:rPr>
        <w:t xml:space="preserve">Nous Group (2016) </w:t>
      </w:r>
      <w:hyperlink r:id="rId29" w:history="1">
        <w:r w:rsidRPr="00AA3074">
          <w:rPr>
            <w:rStyle w:val="Hyperlink"/>
            <w:rFonts w:ascii="Calibri Light" w:hAnsi="Calibri Light" w:cs="Calibri Light"/>
          </w:rPr>
          <w:t>Review of the roles and functions of NACCHO and the state/territory Aboriginal and Torres Strait Islander health peak bodies</w:t>
        </w:r>
      </w:hyperlink>
      <w:r w:rsidRPr="00AA3074">
        <w:rPr>
          <w:rFonts w:ascii="Calibri Light" w:hAnsi="Calibri Light" w:cs="Calibri Light"/>
        </w:rPr>
        <w:t>, Nous Group.</w:t>
      </w:r>
    </w:p>
    <w:p w14:paraId="4A3C7F51" w14:textId="77777777" w:rsidR="00AE7D90" w:rsidRPr="00AA3074" w:rsidRDefault="00AE7D90" w:rsidP="00AE7D90">
      <w:pPr>
        <w:rPr>
          <w:rFonts w:ascii="Calibri Light" w:hAnsi="Calibri Light" w:cs="Calibri Light"/>
          <w:lang w:val="en-US"/>
        </w:rPr>
      </w:pPr>
      <w:r w:rsidRPr="00AA3074">
        <w:rPr>
          <w:rFonts w:ascii="Calibri Light" w:hAnsi="Calibri Light" w:cs="Calibri Light"/>
          <w:lang w:val="en-US"/>
        </w:rPr>
        <w:lastRenderedPageBreak/>
        <w:t xml:space="preserve">Ong KS, Carter, R, </w:t>
      </w:r>
      <w:proofErr w:type="spellStart"/>
      <w:r w:rsidRPr="00AA3074">
        <w:rPr>
          <w:rFonts w:ascii="Calibri Light" w:hAnsi="Calibri Light" w:cs="Calibri Light"/>
          <w:lang w:val="en-US"/>
        </w:rPr>
        <w:t>Kelaher</w:t>
      </w:r>
      <w:proofErr w:type="spellEnd"/>
      <w:r w:rsidRPr="00AA3074">
        <w:rPr>
          <w:rFonts w:ascii="Calibri Light" w:hAnsi="Calibri Light" w:cs="Calibri Light"/>
          <w:lang w:val="en-US"/>
        </w:rPr>
        <w:t>, M and Anderson, I (2012) ‘Differences in primary health care delivery to Australia’s Indigenous population: a template for use in economic evaluations’, BMC Health Services Research 12, 307, doi:10.1186/1472-6963-12-307.</w:t>
      </w:r>
    </w:p>
    <w:p w14:paraId="0DED1B66" w14:textId="77777777" w:rsidR="00AE7D90" w:rsidRPr="00AA3074" w:rsidRDefault="00AE7D90" w:rsidP="00AE7D90">
      <w:pPr>
        <w:rPr>
          <w:rFonts w:ascii="Calibri Light" w:hAnsi="Calibri Light" w:cs="Calibri Light"/>
        </w:rPr>
      </w:pPr>
      <w:r w:rsidRPr="00AA3074">
        <w:rPr>
          <w:rFonts w:ascii="Calibri Light" w:hAnsi="Calibri Light" w:cs="Calibri Light"/>
          <w:lang w:val="en-US"/>
        </w:rPr>
        <w:t xml:space="preserve">PC (Australian Government Productivity Commission) (2021) </w:t>
      </w:r>
      <w:hyperlink r:id="rId30" w:history="1">
        <w:r w:rsidRPr="00AA3074">
          <w:rPr>
            <w:rStyle w:val="Hyperlink"/>
            <w:rFonts w:ascii="Calibri Light" w:hAnsi="Calibri Light" w:cs="Calibri Light"/>
          </w:rPr>
          <w:t>Closing the Gap Annual Data Compilation Report July 2021</w:t>
        </w:r>
      </w:hyperlink>
      <w:r w:rsidRPr="00AA3074">
        <w:rPr>
          <w:rFonts w:ascii="Calibri Light" w:hAnsi="Calibri Light" w:cs="Calibri Light"/>
        </w:rPr>
        <w:t>, PC website, accessed 1 September 2021.</w:t>
      </w:r>
    </w:p>
    <w:p w14:paraId="5C40CAC8" w14:textId="77777777" w:rsidR="00AE7D90" w:rsidRPr="00AA3074" w:rsidRDefault="00AE7D90" w:rsidP="00AE7D90">
      <w:pPr>
        <w:rPr>
          <w:rFonts w:ascii="Calibri Light" w:hAnsi="Calibri Light" w:cs="Calibri Light"/>
          <w:lang w:val="en-US"/>
        </w:rPr>
      </w:pPr>
      <w:r w:rsidRPr="00AA3074">
        <w:rPr>
          <w:rFonts w:ascii="Calibri Light" w:hAnsi="Calibri Light" w:cs="Calibri Light"/>
          <w:lang w:val="en-US"/>
        </w:rPr>
        <w:t>Prime Minister and Minister for Indigenous Australians (</w:t>
      </w:r>
      <w:r w:rsidRPr="00AA3074">
        <w:rPr>
          <w:rFonts w:ascii="Calibri Light" w:hAnsi="Calibri Light" w:cs="Calibri Light"/>
        </w:rPr>
        <w:t xml:space="preserve">5 August 2021) </w:t>
      </w:r>
      <w:hyperlink r:id="rId31" w:history="1">
        <w:r w:rsidRPr="00AA3074">
          <w:rPr>
            <w:rStyle w:val="Hyperlink"/>
            <w:rFonts w:ascii="Calibri Light" w:hAnsi="Calibri Light" w:cs="Calibri Light"/>
          </w:rPr>
          <w:t>Commonwealth's Closing the Gap Implementation Plan</w:t>
        </w:r>
      </w:hyperlink>
      <w:r w:rsidRPr="00AA3074">
        <w:rPr>
          <w:rFonts w:ascii="Calibri Light" w:hAnsi="Calibri Light" w:cs="Calibri Light"/>
        </w:rPr>
        <w:t xml:space="preserve"> [media release], Commonwealth Government, accessed 1 September 2021.</w:t>
      </w:r>
    </w:p>
    <w:p w14:paraId="3CB0335F" w14:textId="77777777" w:rsidR="00AE7D90" w:rsidRPr="00AA3074" w:rsidRDefault="00AE7D90" w:rsidP="00AE7D90">
      <w:pPr>
        <w:rPr>
          <w:rFonts w:ascii="Calibri Light" w:hAnsi="Calibri Light" w:cs="Calibri Light"/>
          <w:lang w:val="en-US"/>
        </w:rPr>
      </w:pPr>
      <w:proofErr w:type="spellStart"/>
      <w:r w:rsidRPr="00AA3074">
        <w:rPr>
          <w:rFonts w:ascii="Calibri Light" w:hAnsi="Calibri Light" w:cs="Calibri Light"/>
          <w:lang w:val="en-US"/>
        </w:rPr>
        <w:t>Vos</w:t>
      </w:r>
      <w:proofErr w:type="spellEnd"/>
      <w:r w:rsidRPr="00AA3074">
        <w:rPr>
          <w:rFonts w:ascii="Calibri Light" w:hAnsi="Calibri Light" w:cs="Calibri Light"/>
          <w:lang w:val="en-US"/>
        </w:rPr>
        <w:t xml:space="preserve"> T, Carter R, </w:t>
      </w:r>
      <w:proofErr w:type="spellStart"/>
      <w:r w:rsidRPr="00AA3074">
        <w:rPr>
          <w:rFonts w:ascii="Calibri Light" w:hAnsi="Calibri Light" w:cs="Calibri Light"/>
          <w:lang w:val="en-US"/>
        </w:rPr>
        <w:t>Barendregt</w:t>
      </w:r>
      <w:proofErr w:type="spellEnd"/>
      <w:r w:rsidRPr="00AA3074">
        <w:rPr>
          <w:rFonts w:ascii="Calibri Light" w:hAnsi="Calibri Light" w:cs="Calibri Light"/>
          <w:lang w:val="en-US"/>
        </w:rPr>
        <w:t xml:space="preserve"> J, </w:t>
      </w:r>
      <w:proofErr w:type="spellStart"/>
      <w:r w:rsidRPr="00AA3074">
        <w:rPr>
          <w:rFonts w:ascii="Calibri Light" w:hAnsi="Calibri Light" w:cs="Calibri Light"/>
          <w:lang w:val="en-US"/>
        </w:rPr>
        <w:t>Mihalopoulos</w:t>
      </w:r>
      <w:proofErr w:type="spellEnd"/>
      <w:r w:rsidRPr="00AA3074">
        <w:rPr>
          <w:rFonts w:ascii="Calibri Light" w:hAnsi="Calibri Light" w:cs="Calibri Light"/>
          <w:lang w:val="en-US"/>
        </w:rPr>
        <w:t xml:space="preserve"> C, </w:t>
      </w:r>
      <w:proofErr w:type="spellStart"/>
      <w:r w:rsidRPr="00AA3074">
        <w:rPr>
          <w:rFonts w:ascii="Calibri Light" w:hAnsi="Calibri Light" w:cs="Calibri Light"/>
          <w:lang w:val="en-US"/>
        </w:rPr>
        <w:t>Veerman</w:t>
      </w:r>
      <w:proofErr w:type="spellEnd"/>
      <w:r w:rsidRPr="00AA3074">
        <w:rPr>
          <w:rFonts w:ascii="Calibri Light" w:hAnsi="Calibri Light" w:cs="Calibri Light"/>
          <w:lang w:val="en-US"/>
        </w:rPr>
        <w:t xml:space="preserve"> JL, Magnus A, </w:t>
      </w:r>
      <w:proofErr w:type="spellStart"/>
      <w:r w:rsidRPr="00AA3074">
        <w:rPr>
          <w:rFonts w:ascii="Calibri Light" w:hAnsi="Calibri Light" w:cs="Calibri Light"/>
          <w:lang w:val="en-US"/>
        </w:rPr>
        <w:t>Cobiac</w:t>
      </w:r>
      <w:proofErr w:type="spellEnd"/>
      <w:r w:rsidRPr="00AA3074">
        <w:rPr>
          <w:rFonts w:ascii="Calibri Light" w:hAnsi="Calibri Light" w:cs="Calibri Light"/>
          <w:lang w:val="en-US"/>
        </w:rPr>
        <w:t xml:space="preserve"> L, Bertram MY, and Wallace AL (2010) </w:t>
      </w:r>
      <w:hyperlink r:id="rId32" w:history="1">
        <w:r w:rsidRPr="00AA3074">
          <w:rPr>
            <w:rStyle w:val="Hyperlink"/>
            <w:rFonts w:ascii="Calibri Light" w:hAnsi="Calibri Light" w:cs="Calibri Light"/>
            <w:lang w:val="en-US"/>
          </w:rPr>
          <w:t>Assessing Cost-Effectiveness in Prevention (ACE–Prevention): Final Report</w:t>
        </w:r>
      </w:hyperlink>
      <w:r w:rsidRPr="00AA3074">
        <w:rPr>
          <w:rFonts w:ascii="Calibri Light" w:hAnsi="Calibri Light" w:cs="Calibri Light"/>
          <w:lang w:val="en-US"/>
        </w:rPr>
        <w:t>, University of Queensland, Brisbane and Deakin University, Melbourne.</w:t>
      </w:r>
    </w:p>
    <w:p w14:paraId="4EAF9FBF" w14:textId="77777777" w:rsidR="00AE7D90" w:rsidRPr="00AA3074" w:rsidRDefault="00AE7D90" w:rsidP="00AE7D90">
      <w:pPr>
        <w:rPr>
          <w:rFonts w:ascii="Calibri Light" w:hAnsi="Calibri Light" w:cs="Calibri Light"/>
        </w:rPr>
      </w:pPr>
      <w:r w:rsidRPr="00AA3074">
        <w:rPr>
          <w:rFonts w:ascii="Calibri Light" w:hAnsi="Calibri Light" w:cs="Calibri Light"/>
          <w:lang w:val="en-US"/>
        </w:rPr>
        <w:t xml:space="preserve">Woolworths Group Limited (2021) </w:t>
      </w:r>
      <w:hyperlink r:id="rId33" w:history="1">
        <w:r w:rsidRPr="00AA3074">
          <w:rPr>
            <w:rStyle w:val="Hyperlink"/>
            <w:rFonts w:ascii="Calibri Light" w:hAnsi="Calibri Light" w:cs="Calibri Light"/>
            <w:lang w:val="en-US"/>
          </w:rPr>
          <w:t>Reflections on the Independent Panel Review</w:t>
        </w:r>
      </w:hyperlink>
      <w:r w:rsidRPr="00AA3074">
        <w:rPr>
          <w:rFonts w:ascii="Calibri Light" w:hAnsi="Calibri Light" w:cs="Calibri Light"/>
          <w:lang w:val="en-US"/>
        </w:rPr>
        <w:t>, Woolworths Group website</w:t>
      </w:r>
      <w:r w:rsidRPr="00AA3074">
        <w:rPr>
          <w:rFonts w:ascii="Calibri Light" w:hAnsi="Calibri Light" w:cs="Calibri Light"/>
        </w:rPr>
        <w:t>, accessed 1 September 2021.</w:t>
      </w:r>
    </w:p>
    <w:p w14:paraId="33051858" w14:textId="1C9BECE3" w:rsidR="00236D1D" w:rsidRPr="00036CD7" w:rsidRDefault="00AE7D90" w:rsidP="00236D1D">
      <w:pPr>
        <w:rPr>
          <w:rStyle w:val="Hyperlink"/>
          <w:rFonts w:ascii="Calibri Light" w:hAnsi="Calibri Light" w:cs="Calibri Light"/>
          <w:color w:val="auto"/>
          <w:u w:val="none"/>
        </w:rPr>
      </w:pPr>
      <w:r w:rsidRPr="00AA3074">
        <w:rPr>
          <w:rFonts w:ascii="Calibri Light" w:hAnsi="Calibri Light" w:cs="Calibri Light"/>
        </w:rPr>
        <w:t>Wright A, Briscoe K, Lovett R. (2019) A national profile of Aboriginal and Torres Strait Islander Health Workers, 2006–2016. Australian and New Zealand Journal of Public Health, 43: 24-26. </w:t>
      </w:r>
      <w:hyperlink r:id="rId34" w:history="1">
        <w:r w:rsidRPr="00AA3074">
          <w:rPr>
            <w:rStyle w:val="Hyperlink"/>
            <w:rFonts w:ascii="Calibri Light" w:hAnsi="Calibri Light" w:cs="Calibri Light"/>
          </w:rPr>
          <w:t>https://doi.org/10.1111/1753-6405.12864</w:t>
        </w:r>
      </w:hyperlink>
    </w:p>
    <w:p w14:paraId="64006084" w14:textId="77777777" w:rsidR="00036CD7" w:rsidRDefault="00036CD7">
      <w:pPr>
        <w:spacing w:before="0"/>
        <w:rPr>
          <w:rFonts w:asciiTheme="majorHAnsi" w:eastAsiaTheme="majorEastAsia" w:hAnsiTheme="majorHAnsi" w:cstheme="majorBidi"/>
          <w:color w:val="2F5496" w:themeColor="accent1" w:themeShade="BF"/>
          <w:sz w:val="28"/>
          <w:szCs w:val="26"/>
          <w:lang w:val="en-AU"/>
        </w:rPr>
      </w:pPr>
      <w:bookmarkStart w:id="64" w:name="_Toc88818210"/>
      <w:r>
        <w:br w:type="page"/>
      </w:r>
    </w:p>
    <w:p w14:paraId="46431437" w14:textId="72E8B1F8" w:rsidR="00236D1D" w:rsidRPr="00AA3074" w:rsidRDefault="00236D1D" w:rsidP="00036CD7">
      <w:pPr>
        <w:pStyle w:val="h2"/>
      </w:pPr>
      <w:r w:rsidRPr="00AA3074">
        <w:lastRenderedPageBreak/>
        <w:t>ACRONYMS</w:t>
      </w:r>
      <w:bookmarkEnd w:id="64"/>
    </w:p>
    <w:p w14:paraId="1E8B4A8F" w14:textId="77777777" w:rsidR="00AE7D90" w:rsidRDefault="00AE7D90" w:rsidP="00AE7D90">
      <w:pPr>
        <w:rPr>
          <w:rFonts w:ascii="Calibri Light" w:hAnsi="Calibri Light" w:cs="Calibri Light"/>
          <w:lang w:val="en-US"/>
        </w:rPr>
      </w:pPr>
      <w:r>
        <w:rPr>
          <w:rFonts w:ascii="Calibri Light" w:hAnsi="Calibri Light" w:cs="Calibri Light"/>
          <w:lang w:val="en-US"/>
        </w:rPr>
        <w:t>ACCHO</w:t>
      </w:r>
      <w:r>
        <w:rPr>
          <w:rFonts w:ascii="Calibri Light" w:hAnsi="Calibri Light" w:cs="Calibri Light"/>
          <w:lang w:val="en-US"/>
        </w:rPr>
        <w:tab/>
      </w:r>
      <w:r>
        <w:rPr>
          <w:rFonts w:ascii="Calibri Light" w:hAnsi="Calibri Light" w:cs="Calibri Light"/>
          <w:lang w:val="en-US"/>
        </w:rPr>
        <w:tab/>
      </w:r>
      <w:r w:rsidRPr="00AA3074">
        <w:rPr>
          <w:rFonts w:ascii="Calibri Light" w:hAnsi="Calibri Light" w:cs="Calibri Light"/>
          <w:lang w:val="en-US"/>
        </w:rPr>
        <w:t xml:space="preserve">Aboriginal and Torres Strait Islander Community Controlled Health </w:t>
      </w:r>
      <w:proofErr w:type="spellStart"/>
      <w:r>
        <w:rPr>
          <w:rFonts w:ascii="Calibri Light" w:hAnsi="Calibri Light" w:cs="Calibri Light"/>
          <w:lang w:val="en-US"/>
        </w:rPr>
        <w:t>Organisation</w:t>
      </w:r>
      <w:proofErr w:type="spellEnd"/>
    </w:p>
    <w:p w14:paraId="60B807EB" w14:textId="77777777" w:rsidR="00AE7D90" w:rsidRDefault="00AE7D90" w:rsidP="00AE7D90">
      <w:pPr>
        <w:rPr>
          <w:rFonts w:ascii="Calibri Light" w:hAnsi="Calibri Light" w:cs="Calibri Light"/>
          <w:lang w:val="en-US"/>
        </w:rPr>
      </w:pPr>
      <w:r w:rsidRPr="00AA3074">
        <w:rPr>
          <w:rFonts w:ascii="Calibri Light" w:hAnsi="Calibri Light" w:cs="Calibri Light"/>
          <w:lang w:val="en-US"/>
        </w:rPr>
        <w:t xml:space="preserve">ACCHS </w:t>
      </w:r>
      <w:r w:rsidRPr="00AA3074">
        <w:rPr>
          <w:rFonts w:ascii="Calibri Light" w:hAnsi="Calibri Light" w:cs="Calibri Light"/>
          <w:lang w:val="en-US"/>
        </w:rPr>
        <w:tab/>
      </w:r>
      <w:r w:rsidRPr="00AA3074">
        <w:rPr>
          <w:rFonts w:ascii="Calibri Light" w:hAnsi="Calibri Light" w:cs="Calibri Light"/>
          <w:lang w:val="en-US"/>
        </w:rPr>
        <w:tab/>
        <w:t>Aboriginal and Torres Strait Islander Community Controlled Health Service</w:t>
      </w:r>
    </w:p>
    <w:p w14:paraId="0F14B683" w14:textId="77777777" w:rsidR="00AE7D90" w:rsidRPr="00AA3074" w:rsidRDefault="00AE7D90" w:rsidP="00AE7D90">
      <w:pPr>
        <w:rPr>
          <w:rFonts w:ascii="Calibri Light" w:hAnsi="Calibri Light" w:cs="Calibri Light"/>
          <w:lang w:val="en-US"/>
        </w:rPr>
      </w:pPr>
      <w:r w:rsidRPr="00AA3074">
        <w:rPr>
          <w:rFonts w:ascii="Calibri Light" w:hAnsi="Calibri Light" w:cs="Calibri Light"/>
          <w:lang w:val="en-US"/>
        </w:rPr>
        <w:t>ACCO</w:t>
      </w:r>
      <w:r>
        <w:rPr>
          <w:rFonts w:ascii="Calibri Light" w:hAnsi="Calibri Light" w:cs="Calibri Light"/>
          <w:lang w:val="en-US"/>
        </w:rPr>
        <w:tab/>
      </w:r>
      <w:r>
        <w:rPr>
          <w:rFonts w:ascii="Calibri Light" w:hAnsi="Calibri Light" w:cs="Calibri Light"/>
          <w:lang w:val="en-US"/>
        </w:rPr>
        <w:tab/>
      </w:r>
      <w:r w:rsidRPr="00AA3074">
        <w:rPr>
          <w:rFonts w:ascii="Calibri Light" w:hAnsi="Calibri Light" w:cs="Calibri Light"/>
          <w:lang w:val="en-US"/>
        </w:rPr>
        <w:t xml:space="preserve">Aboriginal Community Controlled </w:t>
      </w:r>
      <w:proofErr w:type="spellStart"/>
      <w:r w:rsidRPr="00AA3074">
        <w:rPr>
          <w:rFonts w:ascii="Calibri Light" w:hAnsi="Calibri Light" w:cs="Calibri Light"/>
          <w:lang w:val="en-US"/>
        </w:rPr>
        <w:t>Organisations</w:t>
      </w:r>
      <w:proofErr w:type="spellEnd"/>
      <w:r w:rsidRPr="00AA3074">
        <w:rPr>
          <w:rFonts w:ascii="Calibri Light" w:hAnsi="Calibri Light" w:cs="Calibri Light"/>
          <w:lang w:val="en-US"/>
        </w:rPr>
        <w:t xml:space="preserve"> </w:t>
      </w:r>
    </w:p>
    <w:p w14:paraId="28AA87E6" w14:textId="77777777" w:rsidR="00AE7D90" w:rsidRDefault="00AE7D90" w:rsidP="00AE7D90">
      <w:pPr>
        <w:rPr>
          <w:rFonts w:ascii="Calibri Light" w:hAnsi="Calibri Light" w:cs="Calibri Light"/>
          <w:lang w:val="en-US"/>
        </w:rPr>
      </w:pPr>
      <w:r>
        <w:rPr>
          <w:rFonts w:ascii="Calibri Light" w:hAnsi="Calibri Light" w:cs="Calibri Light"/>
          <w:lang w:val="en-US"/>
        </w:rPr>
        <w:t>AMS</w:t>
      </w:r>
      <w:r>
        <w:rPr>
          <w:rFonts w:ascii="Calibri Light" w:hAnsi="Calibri Light" w:cs="Calibri Light"/>
          <w:lang w:val="en-US"/>
        </w:rPr>
        <w:tab/>
      </w:r>
      <w:r>
        <w:rPr>
          <w:rFonts w:ascii="Calibri Light" w:hAnsi="Calibri Light" w:cs="Calibri Light"/>
          <w:lang w:val="en-US"/>
        </w:rPr>
        <w:tab/>
      </w:r>
      <w:r w:rsidRPr="00AA3074">
        <w:rPr>
          <w:rFonts w:ascii="Calibri Light" w:hAnsi="Calibri Light" w:cs="Calibri Light"/>
          <w:lang w:val="en-US"/>
        </w:rPr>
        <w:t xml:space="preserve">Aboriginal Medical Service </w:t>
      </w:r>
    </w:p>
    <w:p w14:paraId="312C40E5" w14:textId="77777777" w:rsidR="00AE7D90" w:rsidRPr="00AA3074" w:rsidRDefault="00AE7D90" w:rsidP="00AE7D90">
      <w:pPr>
        <w:rPr>
          <w:rFonts w:ascii="Calibri Light" w:hAnsi="Calibri Light" w:cs="Calibri Light"/>
          <w:lang w:val="en-US"/>
        </w:rPr>
      </w:pPr>
      <w:r w:rsidRPr="00AA3074">
        <w:rPr>
          <w:rFonts w:ascii="Calibri Light" w:hAnsi="Calibri Light" w:cs="Calibri Light"/>
        </w:rPr>
        <w:t>AIDA</w:t>
      </w:r>
      <w:r w:rsidRPr="00AA3074">
        <w:rPr>
          <w:rFonts w:ascii="Calibri Light" w:hAnsi="Calibri Light" w:cs="Calibri Light"/>
          <w:lang w:val="en-US"/>
        </w:rPr>
        <w:t xml:space="preserve"> </w:t>
      </w:r>
      <w:r w:rsidRPr="00AA3074">
        <w:rPr>
          <w:rFonts w:ascii="Calibri Light" w:hAnsi="Calibri Light" w:cs="Calibri Light"/>
          <w:lang w:val="en-US"/>
        </w:rPr>
        <w:tab/>
      </w:r>
      <w:r w:rsidRPr="00AA3074">
        <w:rPr>
          <w:rFonts w:ascii="Calibri Light" w:hAnsi="Calibri Light" w:cs="Calibri Light"/>
          <w:lang w:val="en-US"/>
        </w:rPr>
        <w:tab/>
      </w:r>
      <w:r w:rsidRPr="00AA3074">
        <w:rPr>
          <w:rFonts w:ascii="Calibri Light" w:hAnsi="Calibri Light" w:cs="Calibri Light"/>
        </w:rPr>
        <w:t>Australian Indigenous Doctors Association</w:t>
      </w:r>
    </w:p>
    <w:p w14:paraId="09C26FD4" w14:textId="77777777" w:rsidR="00AE7D90" w:rsidRPr="00AA3074" w:rsidRDefault="00AE7D90" w:rsidP="00AE7D90">
      <w:pPr>
        <w:rPr>
          <w:rFonts w:ascii="Calibri Light" w:hAnsi="Calibri Light" w:cs="Calibri Light"/>
          <w:lang w:val="en-US"/>
        </w:rPr>
      </w:pPr>
      <w:r w:rsidRPr="00AA3074">
        <w:rPr>
          <w:rFonts w:ascii="Calibri Light" w:hAnsi="Calibri Light" w:cs="Calibri Light"/>
          <w:lang w:val="en-US"/>
        </w:rPr>
        <w:t xml:space="preserve">CEO </w:t>
      </w:r>
      <w:r w:rsidRPr="00AA3074">
        <w:rPr>
          <w:rFonts w:ascii="Calibri Light" w:hAnsi="Calibri Light" w:cs="Calibri Light"/>
          <w:lang w:val="en-US"/>
        </w:rPr>
        <w:tab/>
      </w:r>
      <w:r w:rsidRPr="00AA3074">
        <w:rPr>
          <w:rFonts w:ascii="Calibri Light" w:hAnsi="Calibri Light" w:cs="Calibri Light"/>
          <w:lang w:val="en-US"/>
        </w:rPr>
        <w:tab/>
        <w:t>Chief Executive Officer</w:t>
      </w:r>
    </w:p>
    <w:p w14:paraId="0348DB4E" w14:textId="77777777" w:rsidR="00AE7D90" w:rsidRPr="00AA3074" w:rsidRDefault="00AE7D90" w:rsidP="00AE7D90">
      <w:pPr>
        <w:rPr>
          <w:rFonts w:ascii="Calibri Light" w:hAnsi="Calibri Light" w:cs="Calibri Light"/>
        </w:rPr>
      </w:pPr>
      <w:proofErr w:type="spellStart"/>
      <w:r w:rsidRPr="00AA3074">
        <w:rPr>
          <w:rFonts w:ascii="Calibri Light" w:hAnsi="Calibri Light" w:cs="Calibri Light"/>
        </w:rPr>
        <w:t>CATSINaM</w:t>
      </w:r>
      <w:proofErr w:type="spellEnd"/>
      <w:r w:rsidRPr="00AA3074">
        <w:rPr>
          <w:rFonts w:ascii="Calibri Light" w:hAnsi="Calibri Light" w:cs="Calibri Light"/>
        </w:rPr>
        <w:tab/>
        <w:t xml:space="preserve">Congress of Aboriginal and Torres Strait Islander Nurses and Midwives </w:t>
      </w:r>
    </w:p>
    <w:p w14:paraId="1D11F729" w14:textId="77777777" w:rsidR="00AE7D90" w:rsidRDefault="00AE7D90" w:rsidP="00AE7D90">
      <w:pPr>
        <w:rPr>
          <w:rFonts w:ascii="Calibri Light" w:hAnsi="Calibri Light" w:cs="Calibri Light"/>
        </w:rPr>
      </w:pPr>
      <w:r>
        <w:rPr>
          <w:rFonts w:ascii="Calibri Light" w:hAnsi="Calibri Light" w:cs="Calibri Light"/>
        </w:rPr>
        <w:t>FTE</w:t>
      </w:r>
      <w:r>
        <w:rPr>
          <w:rFonts w:ascii="Calibri Light" w:hAnsi="Calibri Light" w:cs="Calibri Light"/>
        </w:rPr>
        <w:tab/>
      </w:r>
      <w:r>
        <w:rPr>
          <w:rFonts w:ascii="Calibri Light" w:hAnsi="Calibri Light" w:cs="Calibri Light"/>
        </w:rPr>
        <w:tab/>
        <w:t>Full Time Equivalent</w:t>
      </w:r>
    </w:p>
    <w:p w14:paraId="55439FBC" w14:textId="77777777" w:rsidR="00AE7D90" w:rsidRDefault="00AE7D90" w:rsidP="00AE7D90">
      <w:pPr>
        <w:rPr>
          <w:rFonts w:ascii="Calibri Light" w:hAnsi="Calibri Light" w:cs="Calibri Light"/>
        </w:rPr>
      </w:pPr>
      <w:r>
        <w:rPr>
          <w:rFonts w:ascii="Calibri Light" w:hAnsi="Calibri Light" w:cs="Calibri Light"/>
        </w:rPr>
        <w:t>Health-SSP</w:t>
      </w:r>
      <w:r>
        <w:rPr>
          <w:rFonts w:ascii="Calibri Light" w:hAnsi="Calibri Light" w:cs="Calibri Light"/>
        </w:rPr>
        <w:tab/>
        <w:t>Health Sector Strengthening Plan</w:t>
      </w:r>
    </w:p>
    <w:p w14:paraId="1E53D6DA" w14:textId="77777777" w:rsidR="00AE7D90" w:rsidRPr="00AA3074" w:rsidRDefault="00AE7D90" w:rsidP="00AE7D90">
      <w:pPr>
        <w:rPr>
          <w:rFonts w:ascii="Calibri Light" w:hAnsi="Calibri Light" w:cs="Calibri Light"/>
          <w:lang w:val="en-US"/>
        </w:rPr>
      </w:pPr>
      <w:r w:rsidRPr="00AA3074">
        <w:rPr>
          <w:rFonts w:ascii="Calibri Light" w:hAnsi="Calibri Light" w:cs="Calibri Light"/>
        </w:rPr>
        <w:t>IAHA</w:t>
      </w:r>
      <w:r w:rsidRPr="00AA3074">
        <w:rPr>
          <w:rFonts w:ascii="Calibri Light" w:hAnsi="Calibri Light" w:cs="Calibri Light"/>
          <w:lang w:val="en-US"/>
        </w:rPr>
        <w:t xml:space="preserve"> </w:t>
      </w:r>
      <w:r w:rsidRPr="00AA3074">
        <w:rPr>
          <w:rFonts w:ascii="Calibri Light" w:hAnsi="Calibri Light" w:cs="Calibri Light"/>
          <w:lang w:val="en-US"/>
        </w:rPr>
        <w:tab/>
      </w:r>
      <w:r w:rsidRPr="00AA3074">
        <w:rPr>
          <w:rFonts w:ascii="Calibri Light" w:hAnsi="Calibri Light" w:cs="Calibri Light"/>
          <w:lang w:val="en-US"/>
        </w:rPr>
        <w:tab/>
      </w:r>
      <w:r w:rsidRPr="00AA3074">
        <w:rPr>
          <w:rFonts w:ascii="Calibri Light" w:hAnsi="Calibri Light" w:cs="Calibri Light"/>
        </w:rPr>
        <w:t>Indigenous Allied Health Australia</w:t>
      </w:r>
    </w:p>
    <w:p w14:paraId="11661DB9" w14:textId="77777777" w:rsidR="00AE7D90" w:rsidRDefault="00AE7D90" w:rsidP="00AE7D90">
      <w:pPr>
        <w:rPr>
          <w:rFonts w:ascii="Calibri Light" w:hAnsi="Calibri Light" w:cs="Calibri Light"/>
          <w:lang w:val="en-US"/>
        </w:rPr>
      </w:pPr>
      <w:r>
        <w:rPr>
          <w:rFonts w:ascii="Calibri Light" w:hAnsi="Calibri Light" w:cs="Calibri Light"/>
          <w:lang w:val="en-US"/>
        </w:rPr>
        <w:t>IAHP</w:t>
      </w:r>
      <w:r>
        <w:rPr>
          <w:rFonts w:ascii="Calibri Light" w:hAnsi="Calibri Light" w:cs="Calibri Light"/>
          <w:lang w:val="en-US"/>
        </w:rPr>
        <w:tab/>
      </w:r>
      <w:r>
        <w:rPr>
          <w:rFonts w:ascii="Calibri Light" w:hAnsi="Calibri Light" w:cs="Calibri Light"/>
          <w:lang w:val="en-US"/>
        </w:rPr>
        <w:tab/>
      </w:r>
      <w:r w:rsidRPr="00AA3074">
        <w:rPr>
          <w:rFonts w:ascii="Calibri Light" w:hAnsi="Calibri Light" w:cs="Calibri Light"/>
          <w:lang w:val="en-US"/>
        </w:rPr>
        <w:t xml:space="preserve">Indigenous Australians’ Health </w:t>
      </w:r>
      <w:proofErr w:type="spellStart"/>
      <w:r w:rsidRPr="00AA3074">
        <w:rPr>
          <w:rFonts w:ascii="Calibri Light" w:hAnsi="Calibri Light" w:cs="Calibri Light"/>
          <w:lang w:val="en-US"/>
        </w:rPr>
        <w:t>Programme</w:t>
      </w:r>
      <w:proofErr w:type="spellEnd"/>
    </w:p>
    <w:p w14:paraId="158F0259" w14:textId="77777777" w:rsidR="00AE7D90" w:rsidRPr="00AA3074" w:rsidRDefault="00AE7D90" w:rsidP="00AE7D90">
      <w:pPr>
        <w:rPr>
          <w:rFonts w:ascii="Calibri Light" w:hAnsi="Calibri Light" w:cs="Calibri Light"/>
          <w:lang w:val="en-US"/>
        </w:rPr>
      </w:pPr>
      <w:r w:rsidRPr="00AA3074">
        <w:rPr>
          <w:rFonts w:ascii="Calibri Light" w:hAnsi="Calibri Light" w:cs="Calibri Light"/>
          <w:lang w:val="en-US"/>
        </w:rPr>
        <w:t>IT</w:t>
      </w:r>
      <w:r w:rsidRPr="00AA3074">
        <w:rPr>
          <w:rFonts w:ascii="Calibri Light" w:hAnsi="Calibri Light" w:cs="Calibri Light"/>
          <w:lang w:val="en-US"/>
        </w:rPr>
        <w:tab/>
      </w:r>
      <w:r w:rsidRPr="00AA3074">
        <w:rPr>
          <w:rFonts w:ascii="Calibri Light" w:hAnsi="Calibri Light" w:cs="Calibri Light"/>
          <w:lang w:val="en-US"/>
        </w:rPr>
        <w:tab/>
        <w:t>Information Technology</w:t>
      </w:r>
    </w:p>
    <w:p w14:paraId="2A59D664" w14:textId="77777777" w:rsidR="00AE7D90" w:rsidRPr="00AA3074" w:rsidRDefault="00AE7D90" w:rsidP="00AE7D90">
      <w:pPr>
        <w:rPr>
          <w:rFonts w:ascii="Calibri Light" w:hAnsi="Calibri Light" w:cs="Calibri Light"/>
          <w:lang w:val="en-US"/>
        </w:rPr>
      </w:pPr>
      <w:r w:rsidRPr="00AA3074">
        <w:rPr>
          <w:rFonts w:ascii="Calibri Light" w:hAnsi="Calibri Light" w:cs="Calibri Light"/>
          <w:lang w:val="en-US"/>
        </w:rPr>
        <w:t>MBS</w:t>
      </w:r>
      <w:r w:rsidRPr="00AA3074">
        <w:rPr>
          <w:rFonts w:ascii="Calibri Light" w:hAnsi="Calibri Light" w:cs="Calibri Light"/>
          <w:lang w:val="en-US"/>
        </w:rPr>
        <w:tab/>
      </w:r>
      <w:r w:rsidRPr="00AA3074">
        <w:rPr>
          <w:rFonts w:ascii="Calibri Light" w:hAnsi="Calibri Light" w:cs="Calibri Light"/>
          <w:lang w:val="en-US"/>
        </w:rPr>
        <w:tab/>
        <w:t>Medicare Benefits Schedule</w:t>
      </w:r>
    </w:p>
    <w:p w14:paraId="53828DCC" w14:textId="77777777" w:rsidR="00AE7D90" w:rsidRPr="00AA3074" w:rsidRDefault="00AE7D90" w:rsidP="00AE7D90">
      <w:pPr>
        <w:rPr>
          <w:rFonts w:ascii="Calibri Light" w:hAnsi="Calibri Light" w:cs="Calibri Light"/>
          <w:lang w:val="en-US"/>
        </w:rPr>
      </w:pPr>
      <w:r w:rsidRPr="00AA3074">
        <w:rPr>
          <w:rFonts w:ascii="Calibri Light" w:hAnsi="Calibri Light" w:cs="Calibri Light"/>
          <w:lang w:val="en-US"/>
        </w:rPr>
        <w:t xml:space="preserve">NACCHO </w:t>
      </w:r>
      <w:r w:rsidRPr="00AA3074">
        <w:rPr>
          <w:rFonts w:ascii="Calibri Light" w:hAnsi="Calibri Light" w:cs="Calibri Light"/>
          <w:lang w:val="en-US"/>
        </w:rPr>
        <w:tab/>
        <w:t xml:space="preserve">National Aboriginal Community Controlled Health </w:t>
      </w:r>
      <w:proofErr w:type="spellStart"/>
      <w:r w:rsidRPr="00AA3074">
        <w:rPr>
          <w:rFonts w:ascii="Calibri Light" w:hAnsi="Calibri Light" w:cs="Calibri Light"/>
          <w:lang w:val="en-US"/>
        </w:rPr>
        <w:t>Organisation</w:t>
      </w:r>
      <w:proofErr w:type="spellEnd"/>
    </w:p>
    <w:p w14:paraId="5286B249" w14:textId="77777777" w:rsidR="00AE7D90" w:rsidRPr="00AA3074" w:rsidRDefault="00AE7D90" w:rsidP="00AE7D90">
      <w:pPr>
        <w:ind w:left="1440" w:hanging="1440"/>
        <w:rPr>
          <w:rFonts w:ascii="Calibri Light" w:hAnsi="Calibri Light" w:cs="Calibri Light"/>
          <w:lang w:val="en-US"/>
        </w:rPr>
      </w:pPr>
      <w:r w:rsidRPr="00AA3074">
        <w:rPr>
          <w:rFonts w:ascii="Calibri Light" w:hAnsi="Calibri Light" w:cs="Calibri Light"/>
        </w:rPr>
        <w:t>NAATSIHWP</w:t>
      </w:r>
      <w:r w:rsidRPr="00AA3074">
        <w:rPr>
          <w:rFonts w:ascii="Calibri Light" w:hAnsi="Calibri Light" w:cs="Calibri Light"/>
          <w:lang w:val="en-US"/>
        </w:rPr>
        <w:t xml:space="preserve"> </w:t>
      </w:r>
      <w:r w:rsidRPr="00AA3074">
        <w:rPr>
          <w:rFonts w:ascii="Calibri Light" w:hAnsi="Calibri Light" w:cs="Calibri Light"/>
          <w:lang w:val="en-US"/>
        </w:rPr>
        <w:tab/>
      </w:r>
      <w:r w:rsidRPr="00AA3074">
        <w:rPr>
          <w:rFonts w:ascii="Calibri Light" w:hAnsi="Calibri Light" w:cs="Calibri Light"/>
        </w:rPr>
        <w:t>National Association for Aboriginal and Torres Strait Islander Health Workers and Practitioners </w:t>
      </w:r>
    </w:p>
    <w:p w14:paraId="147278EF" w14:textId="77777777" w:rsidR="00AE7D90" w:rsidRDefault="00AE7D90" w:rsidP="00AE7D90">
      <w:pPr>
        <w:rPr>
          <w:rFonts w:ascii="Calibri Light" w:hAnsi="Calibri Light" w:cs="Calibri Light"/>
          <w:lang w:val="en-US"/>
        </w:rPr>
      </w:pPr>
      <w:r w:rsidRPr="00AA3074">
        <w:rPr>
          <w:rFonts w:ascii="Calibri Light" w:hAnsi="Calibri Light" w:cs="Calibri Light"/>
          <w:lang w:val="en-US"/>
        </w:rPr>
        <w:t>RTO</w:t>
      </w:r>
      <w:r w:rsidRPr="00AA3074">
        <w:rPr>
          <w:rFonts w:ascii="Calibri Light" w:hAnsi="Calibri Light" w:cs="Calibri Light"/>
          <w:lang w:val="en-US"/>
        </w:rPr>
        <w:tab/>
      </w:r>
      <w:r w:rsidRPr="00AA3074">
        <w:rPr>
          <w:rFonts w:ascii="Calibri Light" w:hAnsi="Calibri Light" w:cs="Calibri Light"/>
          <w:lang w:val="en-US"/>
        </w:rPr>
        <w:tab/>
        <w:t xml:space="preserve">Registered Training </w:t>
      </w:r>
      <w:proofErr w:type="spellStart"/>
      <w:r w:rsidRPr="00AA3074">
        <w:rPr>
          <w:rFonts w:ascii="Calibri Light" w:hAnsi="Calibri Light" w:cs="Calibri Light"/>
          <w:lang w:val="en-US"/>
        </w:rPr>
        <w:t>Organisation</w:t>
      </w:r>
      <w:proofErr w:type="spellEnd"/>
    </w:p>
    <w:p w14:paraId="06961735" w14:textId="77777777" w:rsidR="00AE7D90" w:rsidRDefault="00AE7D90" w:rsidP="00AE7D90">
      <w:pPr>
        <w:rPr>
          <w:rFonts w:ascii="Calibri Light" w:hAnsi="Calibri Light" w:cs="Calibri Light"/>
          <w:lang w:val="en-US"/>
        </w:rPr>
      </w:pPr>
      <w:r>
        <w:rPr>
          <w:rFonts w:ascii="Calibri Light" w:hAnsi="Calibri Light" w:cs="Calibri Light"/>
          <w:lang w:val="en-US"/>
        </w:rPr>
        <w:t>SEWB</w:t>
      </w:r>
      <w:r>
        <w:rPr>
          <w:rFonts w:ascii="Calibri Light" w:hAnsi="Calibri Light" w:cs="Calibri Light"/>
          <w:lang w:val="en-US"/>
        </w:rPr>
        <w:tab/>
      </w:r>
      <w:r>
        <w:rPr>
          <w:rFonts w:ascii="Calibri Light" w:hAnsi="Calibri Light" w:cs="Calibri Light"/>
          <w:lang w:val="en-US"/>
        </w:rPr>
        <w:tab/>
        <w:t>Social and Emotional Wellbeing</w:t>
      </w:r>
    </w:p>
    <w:p w14:paraId="47051070" w14:textId="77777777" w:rsidR="00AE7D90" w:rsidRPr="00AA3074" w:rsidRDefault="00AE7D90" w:rsidP="00AE7D90">
      <w:pPr>
        <w:rPr>
          <w:rFonts w:ascii="Calibri Light" w:hAnsi="Calibri Light" w:cs="Calibri Light"/>
          <w:lang w:val="en-US"/>
        </w:rPr>
      </w:pPr>
      <w:proofErr w:type="spellStart"/>
      <w:r>
        <w:rPr>
          <w:rFonts w:ascii="Calibri Light" w:hAnsi="Calibri Light" w:cs="Calibri Light"/>
          <w:lang w:val="en-US"/>
        </w:rPr>
        <w:t>ToR</w:t>
      </w:r>
      <w:proofErr w:type="spellEnd"/>
      <w:r>
        <w:rPr>
          <w:rFonts w:ascii="Calibri Light" w:hAnsi="Calibri Light" w:cs="Calibri Light"/>
          <w:lang w:val="en-US"/>
        </w:rPr>
        <w:tab/>
      </w:r>
      <w:r>
        <w:rPr>
          <w:rFonts w:ascii="Calibri Light" w:hAnsi="Calibri Light" w:cs="Calibri Light"/>
          <w:lang w:val="en-US"/>
        </w:rPr>
        <w:tab/>
        <w:t>Terms of Reference</w:t>
      </w:r>
    </w:p>
    <w:p w14:paraId="28547DC4" w14:textId="77777777" w:rsidR="00AE7D90" w:rsidRPr="00AA3074" w:rsidRDefault="00AE7D90" w:rsidP="00AE7D90">
      <w:pPr>
        <w:rPr>
          <w:rFonts w:ascii="Calibri Light" w:hAnsi="Calibri Light" w:cs="Calibri Light"/>
          <w:lang w:val="en-US"/>
        </w:rPr>
      </w:pPr>
      <w:r w:rsidRPr="00AA3074">
        <w:rPr>
          <w:rFonts w:ascii="Calibri Light" w:hAnsi="Calibri Light" w:cs="Calibri Light"/>
          <w:lang w:val="en-US"/>
        </w:rPr>
        <w:t>VET</w:t>
      </w:r>
      <w:r w:rsidRPr="00AA3074">
        <w:rPr>
          <w:rFonts w:ascii="Calibri Light" w:hAnsi="Calibri Light" w:cs="Calibri Light"/>
          <w:lang w:val="en-US"/>
        </w:rPr>
        <w:tab/>
      </w:r>
      <w:r w:rsidRPr="00AA3074">
        <w:rPr>
          <w:rFonts w:ascii="Calibri Light" w:hAnsi="Calibri Light" w:cs="Calibri Light"/>
          <w:lang w:val="en-US"/>
        </w:rPr>
        <w:tab/>
        <w:t>Vocational Education and Training</w:t>
      </w:r>
    </w:p>
    <w:p w14:paraId="08C649DC" w14:textId="77777777" w:rsidR="00236D1D" w:rsidRPr="00AA3074" w:rsidRDefault="00236D1D" w:rsidP="00236D1D">
      <w:pPr>
        <w:rPr>
          <w:rFonts w:ascii="Calibri Light" w:hAnsi="Calibri Light" w:cs="Calibri Light"/>
        </w:rPr>
      </w:pPr>
    </w:p>
    <w:p w14:paraId="30EA1B58" w14:textId="77777777" w:rsidR="00236D1D" w:rsidRPr="00236D1D" w:rsidRDefault="00236D1D" w:rsidP="00236D1D">
      <w:pPr>
        <w:rPr>
          <w:lang w:val="en-AU"/>
        </w:rPr>
      </w:pPr>
    </w:p>
    <w:p w14:paraId="1D65E5C0" w14:textId="77777777" w:rsidR="00236D1D" w:rsidRDefault="00236D1D" w:rsidP="00722C2F">
      <w:pPr>
        <w:spacing w:before="0"/>
        <w:rPr>
          <w:rFonts w:asciiTheme="majorHAnsi" w:hAnsiTheme="majorHAnsi" w:cstheme="majorHAnsi"/>
          <w:iCs/>
          <w:lang w:val="en-US"/>
        </w:rPr>
      </w:pPr>
    </w:p>
    <w:p w14:paraId="144C033C" w14:textId="77777777" w:rsidR="00236D1D" w:rsidRDefault="00236D1D" w:rsidP="00722C2F">
      <w:pPr>
        <w:spacing w:before="0"/>
        <w:rPr>
          <w:lang w:val="en-AU"/>
        </w:rPr>
      </w:pPr>
    </w:p>
    <w:sectPr w:rsidR="00236D1D" w:rsidSect="005025B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3B28B" w14:textId="77777777" w:rsidR="00E5531D" w:rsidRDefault="00E5531D" w:rsidP="005D5FDE">
      <w:pPr>
        <w:spacing w:before="0" w:after="0" w:line="240" w:lineRule="auto"/>
      </w:pPr>
      <w:r>
        <w:separator/>
      </w:r>
    </w:p>
  </w:endnote>
  <w:endnote w:type="continuationSeparator" w:id="0">
    <w:p w14:paraId="06DEA081" w14:textId="77777777" w:rsidR="00E5531D" w:rsidRDefault="00E5531D" w:rsidP="005D5FDE">
      <w:pPr>
        <w:spacing w:before="0" w:after="0" w:line="240" w:lineRule="auto"/>
      </w:pPr>
      <w:r>
        <w:continuationSeparator/>
      </w:r>
    </w:p>
  </w:endnote>
  <w:endnote w:type="continuationNotice" w:id="1">
    <w:p w14:paraId="55FB38BF" w14:textId="77777777" w:rsidR="00E5531D" w:rsidRDefault="00E553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4294F" w14:textId="77777777" w:rsidR="00E5531D" w:rsidRDefault="00E55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272131740"/>
      <w:docPartObj>
        <w:docPartGallery w:val="Page Numbers (Bottom of Page)"/>
        <w:docPartUnique/>
      </w:docPartObj>
    </w:sdtPr>
    <w:sdtEndPr>
      <w:rPr>
        <w:noProof/>
        <w:color w:val="1F3864" w:themeColor="accent1" w:themeShade="80"/>
      </w:rPr>
    </w:sdtEndPr>
    <w:sdtContent>
      <w:p w14:paraId="487F365B" w14:textId="77777777" w:rsidR="00E5531D" w:rsidRPr="00942B81" w:rsidRDefault="00E5531D" w:rsidP="00BA5614">
        <w:pPr>
          <w:pStyle w:val="Footer"/>
          <w:jc w:val="center"/>
          <w:rPr>
            <w:sz w:val="18"/>
            <w:szCs w:val="18"/>
          </w:rPr>
        </w:pPr>
      </w:p>
      <w:p w14:paraId="53550A1D" w14:textId="77777777" w:rsidR="00E5531D" w:rsidRPr="00942B81" w:rsidRDefault="00E5531D" w:rsidP="00BA5614">
        <w:pPr>
          <w:pStyle w:val="Footer"/>
          <w:jc w:val="center"/>
          <w:rPr>
            <w:sz w:val="18"/>
            <w:szCs w:val="18"/>
          </w:rPr>
        </w:pPr>
      </w:p>
      <w:p w14:paraId="4043459C" w14:textId="513A3AD0" w:rsidR="00E5531D" w:rsidRPr="006578FE" w:rsidRDefault="00E5531D" w:rsidP="00411AE1">
        <w:pPr>
          <w:pStyle w:val="Footer"/>
          <w:jc w:val="center"/>
          <w:rPr>
            <w:color w:val="1F3864" w:themeColor="accent1" w:themeShade="80"/>
            <w:sz w:val="18"/>
            <w:szCs w:val="18"/>
          </w:rPr>
        </w:pPr>
        <w:r w:rsidRPr="006578FE">
          <w:rPr>
            <w:color w:val="1F3864" w:themeColor="accent1" w:themeShade="80"/>
            <w:sz w:val="18"/>
            <w:szCs w:val="18"/>
          </w:rPr>
          <w:tab/>
          <w:t>Sector Strengthening Plan: Health Agreed in principle by Joint Council on 3 December 2021</w:t>
        </w:r>
        <w:r w:rsidRPr="006578FE">
          <w:rPr>
            <w:color w:val="1F3864" w:themeColor="accent1" w:themeShade="80"/>
            <w:sz w:val="18"/>
            <w:szCs w:val="18"/>
          </w:rPr>
          <w:tab/>
        </w:r>
        <w:r w:rsidRPr="006578FE">
          <w:rPr>
            <w:color w:val="1F3864" w:themeColor="accent1" w:themeShade="80"/>
            <w:sz w:val="18"/>
            <w:szCs w:val="18"/>
          </w:rPr>
          <w:fldChar w:fldCharType="begin"/>
        </w:r>
        <w:r w:rsidRPr="006578FE">
          <w:rPr>
            <w:color w:val="1F3864" w:themeColor="accent1" w:themeShade="80"/>
            <w:sz w:val="18"/>
            <w:szCs w:val="18"/>
          </w:rPr>
          <w:instrText xml:space="preserve"> PAGE   \* MERGEFORMAT </w:instrText>
        </w:r>
        <w:r w:rsidRPr="006578FE">
          <w:rPr>
            <w:color w:val="1F3864" w:themeColor="accent1" w:themeShade="80"/>
            <w:sz w:val="18"/>
            <w:szCs w:val="18"/>
          </w:rPr>
          <w:fldChar w:fldCharType="separate"/>
        </w:r>
        <w:r w:rsidR="00C120CA">
          <w:rPr>
            <w:noProof/>
            <w:color w:val="1F3864" w:themeColor="accent1" w:themeShade="80"/>
            <w:sz w:val="18"/>
            <w:szCs w:val="18"/>
          </w:rPr>
          <w:t>4</w:t>
        </w:r>
        <w:r w:rsidRPr="006578FE">
          <w:rPr>
            <w:noProof/>
            <w:color w:val="1F3864" w:themeColor="accent1" w:themeShade="80"/>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755AD" w14:textId="493B94F2" w:rsidR="00E5531D" w:rsidRPr="00411AE1" w:rsidRDefault="00E5531D" w:rsidP="00411AE1">
    <w:pPr>
      <w:jc w:val="center"/>
      <w:rPr>
        <w:color w:val="1F3864" w:themeColor="accent1" w:themeShade="80"/>
        <w:sz w:val="18"/>
        <w:szCs w:val="18"/>
      </w:rPr>
    </w:pPr>
    <w:r w:rsidRPr="00411AE1">
      <w:rPr>
        <w:color w:val="1F3864" w:themeColor="accent1" w:themeShade="80"/>
        <w:sz w:val="18"/>
        <w:szCs w:val="18"/>
        <w:lang w:eastAsia="en-AU"/>
      </w:rPr>
      <w:t>Sector Strengthening Plan: Health Agreed in principle by Joint Council on 3 December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A21E4" w14:textId="77777777" w:rsidR="00E5531D" w:rsidRDefault="00E5531D" w:rsidP="005D5FDE">
      <w:pPr>
        <w:spacing w:before="0" w:after="0" w:line="240" w:lineRule="auto"/>
      </w:pPr>
      <w:r>
        <w:separator/>
      </w:r>
    </w:p>
  </w:footnote>
  <w:footnote w:type="continuationSeparator" w:id="0">
    <w:p w14:paraId="5C8FC667" w14:textId="77777777" w:rsidR="00E5531D" w:rsidRDefault="00E5531D" w:rsidP="005D5FDE">
      <w:pPr>
        <w:spacing w:before="0" w:after="0" w:line="240" w:lineRule="auto"/>
      </w:pPr>
      <w:r>
        <w:continuationSeparator/>
      </w:r>
    </w:p>
  </w:footnote>
  <w:footnote w:type="continuationNotice" w:id="1">
    <w:p w14:paraId="344C24C0" w14:textId="77777777" w:rsidR="00E5531D" w:rsidRDefault="00E5531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FE95" w14:textId="77777777" w:rsidR="00E5531D" w:rsidRDefault="00E55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3A24E" w14:textId="2332506B" w:rsidR="00E5531D" w:rsidRPr="00E5531D" w:rsidRDefault="00E5531D" w:rsidP="00C44A6E">
    <w:pPr>
      <w:pStyle w:val="Header"/>
      <w:jc w:val="center"/>
      <w:rPr>
        <w:b/>
        <w:bCs/>
        <w:color w:val="1F3864" w:themeColor="accent1" w:themeShade="80"/>
        <w:sz w:val="24"/>
        <w:szCs w:val="24"/>
      </w:rPr>
    </w:pPr>
    <w:r w:rsidRPr="00E5531D">
      <w:rPr>
        <w:b/>
        <w:bCs/>
        <w:color w:val="1F3864" w:themeColor="accent1" w:themeShade="80"/>
        <w:sz w:val="24"/>
        <w:szCs w:val="24"/>
      </w:rPr>
      <w:t>Sector Strengthening Plan: Health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2E305" w14:textId="77777777" w:rsidR="00E5531D" w:rsidRDefault="00E55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9E9C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885414"/>
    <w:multiLevelType w:val="hybridMultilevel"/>
    <w:tmpl w:val="72022E0A"/>
    <w:lvl w:ilvl="0" w:tplc="0C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86" w:hanging="360"/>
      </w:pPr>
      <w:rPr>
        <w:rFonts w:ascii="Courier New" w:hAnsi="Courier New" w:cs="Courier New" w:hint="default"/>
      </w:rPr>
    </w:lvl>
    <w:lvl w:ilvl="2" w:tplc="08090005" w:tentative="1">
      <w:start w:val="1"/>
      <w:numFmt w:val="bullet"/>
      <w:lvlText w:val=""/>
      <w:lvlJc w:val="left"/>
      <w:pPr>
        <w:ind w:left="906" w:hanging="360"/>
      </w:pPr>
      <w:rPr>
        <w:rFonts w:ascii="Wingdings" w:hAnsi="Wingdings" w:hint="default"/>
      </w:rPr>
    </w:lvl>
    <w:lvl w:ilvl="3" w:tplc="08090001" w:tentative="1">
      <w:start w:val="1"/>
      <w:numFmt w:val="bullet"/>
      <w:lvlText w:val=""/>
      <w:lvlJc w:val="left"/>
      <w:pPr>
        <w:ind w:left="1626" w:hanging="360"/>
      </w:pPr>
      <w:rPr>
        <w:rFonts w:ascii="Symbol" w:hAnsi="Symbol" w:hint="default"/>
      </w:rPr>
    </w:lvl>
    <w:lvl w:ilvl="4" w:tplc="08090003" w:tentative="1">
      <w:start w:val="1"/>
      <w:numFmt w:val="bullet"/>
      <w:lvlText w:val="o"/>
      <w:lvlJc w:val="left"/>
      <w:pPr>
        <w:ind w:left="2346" w:hanging="360"/>
      </w:pPr>
      <w:rPr>
        <w:rFonts w:ascii="Courier New" w:hAnsi="Courier New" w:cs="Courier New" w:hint="default"/>
      </w:rPr>
    </w:lvl>
    <w:lvl w:ilvl="5" w:tplc="08090005" w:tentative="1">
      <w:start w:val="1"/>
      <w:numFmt w:val="bullet"/>
      <w:lvlText w:val=""/>
      <w:lvlJc w:val="left"/>
      <w:pPr>
        <w:ind w:left="3066" w:hanging="360"/>
      </w:pPr>
      <w:rPr>
        <w:rFonts w:ascii="Wingdings" w:hAnsi="Wingdings" w:hint="default"/>
      </w:rPr>
    </w:lvl>
    <w:lvl w:ilvl="6" w:tplc="08090001" w:tentative="1">
      <w:start w:val="1"/>
      <w:numFmt w:val="bullet"/>
      <w:lvlText w:val=""/>
      <w:lvlJc w:val="left"/>
      <w:pPr>
        <w:ind w:left="3786" w:hanging="360"/>
      </w:pPr>
      <w:rPr>
        <w:rFonts w:ascii="Symbol" w:hAnsi="Symbol" w:hint="default"/>
      </w:rPr>
    </w:lvl>
    <w:lvl w:ilvl="7" w:tplc="08090003" w:tentative="1">
      <w:start w:val="1"/>
      <w:numFmt w:val="bullet"/>
      <w:lvlText w:val="o"/>
      <w:lvlJc w:val="left"/>
      <w:pPr>
        <w:ind w:left="4506" w:hanging="360"/>
      </w:pPr>
      <w:rPr>
        <w:rFonts w:ascii="Courier New" w:hAnsi="Courier New" w:cs="Courier New" w:hint="default"/>
      </w:rPr>
    </w:lvl>
    <w:lvl w:ilvl="8" w:tplc="08090005" w:tentative="1">
      <w:start w:val="1"/>
      <w:numFmt w:val="bullet"/>
      <w:lvlText w:val=""/>
      <w:lvlJc w:val="left"/>
      <w:pPr>
        <w:ind w:left="5226" w:hanging="360"/>
      </w:pPr>
      <w:rPr>
        <w:rFonts w:ascii="Wingdings" w:hAnsi="Wingdings" w:hint="default"/>
      </w:rPr>
    </w:lvl>
  </w:abstractNum>
  <w:abstractNum w:abstractNumId="3" w15:restartNumberingAfterBreak="0">
    <w:nsid w:val="163B7725"/>
    <w:multiLevelType w:val="hybridMultilevel"/>
    <w:tmpl w:val="246CA746"/>
    <w:lvl w:ilvl="0" w:tplc="D8084FE8">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 w15:restartNumberingAfterBreak="0">
    <w:nsid w:val="1AFC729F"/>
    <w:multiLevelType w:val="multilevel"/>
    <w:tmpl w:val="08528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223A0C"/>
    <w:multiLevelType w:val="hybridMultilevel"/>
    <w:tmpl w:val="A4A605FE"/>
    <w:lvl w:ilvl="0" w:tplc="6306355E">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8C371BC"/>
    <w:multiLevelType w:val="hybridMultilevel"/>
    <w:tmpl w:val="294A78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3F39B9"/>
    <w:multiLevelType w:val="hybridMultilevel"/>
    <w:tmpl w:val="30686DD6"/>
    <w:lvl w:ilvl="0" w:tplc="D7E4C6CC">
      <w:numFmt w:val="bullet"/>
      <w:lvlText w:val="-"/>
      <w:lvlJc w:val="left"/>
      <w:pPr>
        <w:ind w:left="720" w:hanging="360"/>
      </w:pPr>
      <w:rPr>
        <w:rFonts w:ascii="Calibri" w:eastAsiaTheme="minorHAnsi" w:hAnsi="Calibri" w:cs="Calibri"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D04323B"/>
    <w:multiLevelType w:val="hybridMultilevel"/>
    <w:tmpl w:val="6D109F02"/>
    <w:lvl w:ilvl="0" w:tplc="ACEC7ED6">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EA5B35"/>
    <w:multiLevelType w:val="hybridMultilevel"/>
    <w:tmpl w:val="1C8A3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8E6266"/>
    <w:multiLevelType w:val="multilevel"/>
    <w:tmpl w:val="A5EE3644"/>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0903697"/>
    <w:multiLevelType w:val="hybridMultilevel"/>
    <w:tmpl w:val="FFCCC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971DFB"/>
    <w:multiLevelType w:val="hybridMultilevel"/>
    <w:tmpl w:val="8092E368"/>
    <w:lvl w:ilvl="0" w:tplc="08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7A16B20"/>
    <w:multiLevelType w:val="hybridMultilevel"/>
    <w:tmpl w:val="E804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3182A"/>
    <w:multiLevelType w:val="hybridMultilevel"/>
    <w:tmpl w:val="6C12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17092"/>
    <w:multiLevelType w:val="hybridMultilevel"/>
    <w:tmpl w:val="BCAE1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D06EAA"/>
    <w:multiLevelType w:val="hybridMultilevel"/>
    <w:tmpl w:val="67466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4B4525"/>
    <w:multiLevelType w:val="hybridMultilevel"/>
    <w:tmpl w:val="BE80A7BA"/>
    <w:lvl w:ilvl="0" w:tplc="33C2F4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82231"/>
    <w:multiLevelType w:val="hybridMultilevel"/>
    <w:tmpl w:val="CC266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96498E"/>
    <w:multiLevelType w:val="multilevel"/>
    <w:tmpl w:val="42DE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A60BDF"/>
    <w:multiLevelType w:val="hybridMultilevel"/>
    <w:tmpl w:val="1AF0D092"/>
    <w:lvl w:ilvl="0" w:tplc="182A431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C5554"/>
    <w:multiLevelType w:val="hybridMultilevel"/>
    <w:tmpl w:val="8A00C8F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5785488D"/>
    <w:multiLevelType w:val="hybridMultilevel"/>
    <w:tmpl w:val="1F6CC62A"/>
    <w:lvl w:ilvl="0" w:tplc="50FC2EB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370C77"/>
    <w:multiLevelType w:val="hybridMultilevel"/>
    <w:tmpl w:val="75E2D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0839C5"/>
    <w:multiLevelType w:val="hybridMultilevel"/>
    <w:tmpl w:val="98685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34408"/>
    <w:multiLevelType w:val="hybridMultilevel"/>
    <w:tmpl w:val="548632C8"/>
    <w:lvl w:ilvl="0" w:tplc="04090017">
      <w:start w:val="1"/>
      <w:numFmt w:val="lowerLetter"/>
      <w:lvlText w:val="%1)"/>
      <w:lvlJc w:val="left"/>
      <w:pPr>
        <w:ind w:left="720" w:hanging="360"/>
      </w:pPr>
      <w:rPr>
        <w:rFonts w:hint="default"/>
        <w:sz w:val="22"/>
        <w:szCs w:val="22"/>
      </w:rPr>
    </w:lvl>
    <w:lvl w:ilvl="1" w:tplc="398639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B0590A"/>
    <w:multiLevelType w:val="hybridMultilevel"/>
    <w:tmpl w:val="45B22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30398"/>
    <w:multiLevelType w:val="hybridMultilevel"/>
    <w:tmpl w:val="C04477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476F3D"/>
    <w:multiLevelType w:val="hybridMultilevel"/>
    <w:tmpl w:val="3EDA9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67582A"/>
    <w:multiLevelType w:val="hybridMultilevel"/>
    <w:tmpl w:val="7F9048B4"/>
    <w:lvl w:ilvl="0" w:tplc="B8D093DA">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B15F97"/>
    <w:multiLevelType w:val="hybridMultilevel"/>
    <w:tmpl w:val="53A6A2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3AC6F58"/>
    <w:multiLevelType w:val="hybridMultilevel"/>
    <w:tmpl w:val="4D1A6EDA"/>
    <w:lvl w:ilvl="0" w:tplc="83EC9A9C">
      <w:start w:val="1"/>
      <w:numFmt w:val="decimal"/>
      <w:lvlText w:val="%1."/>
      <w:lvlJc w:val="left"/>
      <w:pPr>
        <w:ind w:left="720" w:hanging="360"/>
      </w:pPr>
      <w:rPr>
        <w:rFonts w:hint="default"/>
        <w:sz w:val="22"/>
        <w:szCs w:val="22"/>
      </w:rPr>
    </w:lvl>
    <w:lvl w:ilvl="1" w:tplc="398639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C23104"/>
    <w:multiLevelType w:val="hybridMultilevel"/>
    <w:tmpl w:val="378AF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AF251F"/>
    <w:multiLevelType w:val="hybridMultilevel"/>
    <w:tmpl w:val="57D60498"/>
    <w:lvl w:ilvl="0" w:tplc="9DE4CE7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5F4C71"/>
    <w:multiLevelType w:val="hybridMultilevel"/>
    <w:tmpl w:val="A59CDDC2"/>
    <w:lvl w:ilvl="0" w:tplc="01080378">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9"/>
  </w:num>
  <w:num w:numId="3">
    <w:abstractNumId w:val="12"/>
  </w:num>
  <w:num w:numId="4">
    <w:abstractNumId w:val="8"/>
  </w:num>
  <w:num w:numId="5">
    <w:abstractNumId w:val="26"/>
  </w:num>
  <w:num w:numId="6">
    <w:abstractNumId w:val="3"/>
  </w:num>
  <w:num w:numId="7">
    <w:abstractNumId w:val="18"/>
  </w:num>
  <w:num w:numId="8">
    <w:abstractNumId w:val="24"/>
  </w:num>
  <w:num w:numId="9">
    <w:abstractNumId w:val="33"/>
  </w:num>
  <w:num w:numId="10">
    <w:abstractNumId w:val="34"/>
    <w:lvlOverride w:ilvl="0">
      <w:startOverride w:val="1"/>
    </w:lvlOverride>
  </w:num>
  <w:num w:numId="11">
    <w:abstractNumId w:val="34"/>
    <w:lvlOverride w:ilvl="0">
      <w:startOverride w:val="1"/>
    </w:lvlOverride>
  </w:num>
  <w:num w:numId="12">
    <w:abstractNumId w:val="15"/>
  </w:num>
  <w:num w:numId="13">
    <w:abstractNumId w:val="10"/>
  </w:num>
  <w:num w:numId="14">
    <w:abstractNumId w:val="20"/>
  </w:num>
  <w:num w:numId="15">
    <w:abstractNumId w:val="6"/>
  </w:num>
  <w:num w:numId="16">
    <w:abstractNumId w:val="4"/>
  </w:num>
  <w:num w:numId="17">
    <w:abstractNumId w:val="19"/>
  </w:num>
  <w:num w:numId="18">
    <w:abstractNumId w:val="22"/>
  </w:num>
  <w:num w:numId="19">
    <w:abstractNumId w:val="5"/>
  </w:num>
  <w:num w:numId="20">
    <w:abstractNumId w:val="32"/>
  </w:num>
  <w:num w:numId="21">
    <w:abstractNumId w:val="2"/>
  </w:num>
  <w:num w:numId="22">
    <w:abstractNumId w:val="16"/>
  </w:num>
  <w:num w:numId="23">
    <w:abstractNumId w:val="23"/>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4"/>
  </w:num>
  <w:num w:numId="27">
    <w:abstractNumId w:val="9"/>
  </w:num>
  <w:num w:numId="28">
    <w:abstractNumId w:val="0"/>
  </w:num>
  <w:num w:numId="29">
    <w:abstractNumId w:val="31"/>
  </w:num>
  <w:num w:numId="30">
    <w:abstractNumId w:val="1"/>
  </w:num>
  <w:num w:numId="31">
    <w:abstractNumId w:val="25"/>
  </w:num>
  <w:num w:numId="32">
    <w:abstractNumId w:val="17"/>
  </w:num>
  <w:num w:numId="33">
    <w:abstractNumId w:val="21"/>
  </w:num>
  <w:num w:numId="34">
    <w:abstractNumId w:val="14"/>
  </w:num>
  <w:num w:numId="35">
    <w:abstractNumId w:val="13"/>
  </w:num>
  <w:num w:numId="36">
    <w:abstractNumId w:val="28"/>
  </w:num>
  <w:num w:numId="37">
    <w:abstractNumId w:val="30"/>
  </w:num>
  <w:num w:numId="38">
    <w:abstractNumId w:val="27"/>
  </w:num>
  <w:num w:numId="39">
    <w:abstractNumId w:val="11"/>
  </w:num>
  <w:num w:numId="40">
    <w:abstractNumId w:val="29"/>
  </w:num>
  <w:num w:numId="41">
    <w:abstractNumId w:val="29"/>
  </w:num>
  <w:num w:numId="42">
    <w:abstractNumId w:val="29"/>
  </w:num>
  <w:num w:numId="43">
    <w:abstractNumId w:val="29"/>
  </w:num>
  <w:num w:numId="44">
    <w:abstractNumId w:val="29"/>
  </w:num>
  <w:num w:numId="45">
    <w:abstractNumId w:val="34"/>
  </w:num>
  <w:num w:numId="46">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hideSpellingErrors/>
  <w:hideGrammaticalErrors/>
  <w:proofState w:spelling="clean"/>
  <w:defaultTabStop w:val="720"/>
  <w:characterSpacingControl w:val="doNotCompress"/>
  <w:hdrShapeDefaults>
    <o:shapedefaults v:ext="edit" spidmax="1228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B92057"/>
    <w:rsid w:val="00000C1E"/>
    <w:rsid w:val="00001674"/>
    <w:rsid w:val="000024EB"/>
    <w:rsid w:val="00002BA7"/>
    <w:rsid w:val="000051CA"/>
    <w:rsid w:val="000053C6"/>
    <w:rsid w:val="00005658"/>
    <w:rsid w:val="00005A71"/>
    <w:rsid w:val="00005B92"/>
    <w:rsid w:val="00007610"/>
    <w:rsid w:val="00007958"/>
    <w:rsid w:val="000107DC"/>
    <w:rsid w:val="00011238"/>
    <w:rsid w:val="0001257A"/>
    <w:rsid w:val="000130D9"/>
    <w:rsid w:val="000138F0"/>
    <w:rsid w:val="00013E8C"/>
    <w:rsid w:val="00013EA0"/>
    <w:rsid w:val="0001524C"/>
    <w:rsid w:val="00015F19"/>
    <w:rsid w:val="00016182"/>
    <w:rsid w:val="0001766F"/>
    <w:rsid w:val="00017AC1"/>
    <w:rsid w:val="00022F01"/>
    <w:rsid w:val="00023B06"/>
    <w:rsid w:val="000244A2"/>
    <w:rsid w:val="000244D2"/>
    <w:rsid w:val="00025778"/>
    <w:rsid w:val="00026205"/>
    <w:rsid w:val="00026A7F"/>
    <w:rsid w:val="00026E9F"/>
    <w:rsid w:val="00027149"/>
    <w:rsid w:val="000274A4"/>
    <w:rsid w:val="00027C70"/>
    <w:rsid w:val="000300A8"/>
    <w:rsid w:val="0003069D"/>
    <w:rsid w:val="000328BA"/>
    <w:rsid w:val="00033A25"/>
    <w:rsid w:val="00033A50"/>
    <w:rsid w:val="000349D1"/>
    <w:rsid w:val="00034E16"/>
    <w:rsid w:val="000353D7"/>
    <w:rsid w:val="00035C89"/>
    <w:rsid w:val="00036CD7"/>
    <w:rsid w:val="00036E85"/>
    <w:rsid w:val="00036F89"/>
    <w:rsid w:val="00037111"/>
    <w:rsid w:val="000378CF"/>
    <w:rsid w:val="00040BE3"/>
    <w:rsid w:val="00040D37"/>
    <w:rsid w:val="00041A73"/>
    <w:rsid w:val="00043AD3"/>
    <w:rsid w:val="0004492C"/>
    <w:rsid w:val="00045FE8"/>
    <w:rsid w:val="00046B8A"/>
    <w:rsid w:val="00046FDE"/>
    <w:rsid w:val="000503AA"/>
    <w:rsid w:val="000517DE"/>
    <w:rsid w:val="00051CD4"/>
    <w:rsid w:val="00051DD3"/>
    <w:rsid w:val="00052A59"/>
    <w:rsid w:val="000542DC"/>
    <w:rsid w:val="00056C7C"/>
    <w:rsid w:val="00057264"/>
    <w:rsid w:val="00057DE8"/>
    <w:rsid w:val="00060AA2"/>
    <w:rsid w:val="000613E0"/>
    <w:rsid w:val="00061DDA"/>
    <w:rsid w:val="00062B51"/>
    <w:rsid w:val="000634DF"/>
    <w:rsid w:val="00064018"/>
    <w:rsid w:val="00064560"/>
    <w:rsid w:val="00064ED7"/>
    <w:rsid w:val="00065277"/>
    <w:rsid w:val="0006595C"/>
    <w:rsid w:val="00065E2C"/>
    <w:rsid w:val="00066C3D"/>
    <w:rsid w:val="00067A10"/>
    <w:rsid w:val="000718AD"/>
    <w:rsid w:val="00071E4D"/>
    <w:rsid w:val="00076722"/>
    <w:rsid w:val="000771EE"/>
    <w:rsid w:val="00077D9E"/>
    <w:rsid w:val="00082900"/>
    <w:rsid w:val="0008371A"/>
    <w:rsid w:val="0008391B"/>
    <w:rsid w:val="00085611"/>
    <w:rsid w:val="00086482"/>
    <w:rsid w:val="00086BC1"/>
    <w:rsid w:val="00086EE2"/>
    <w:rsid w:val="00087717"/>
    <w:rsid w:val="00087829"/>
    <w:rsid w:val="00091421"/>
    <w:rsid w:val="00091422"/>
    <w:rsid w:val="000914C7"/>
    <w:rsid w:val="00091C3E"/>
    <w:rsid w:val="00092A38"/>
    <w:rsid w:val="00093AD1"/>
    <w:rsid w:val="00094842"/>
    <w:rsid w:val="0009495B"/>
    <w:rsid w:val="000949B9"/>
    <w:rsid w:val="00094A28"/>
    <w:rsid w:val="00096845"/>
    <w:rsid w:val="00096C4B"/>
    <w:rsid w:val="00097226"/>
    <w:rsid w:val="00097D56"/>
    <w:rsid w:val="000A0191"/>
    <w:rsid w:val="000A0B02"/>
    <w:rsid w:val="000A12D9"/>
    <w:rsid w:val="000A14D1"/>
    <w:rsid w:val="000A2B35"/>
    <w:rsid w:val="000A2BBE"/>
    <w:rsid w:val="000A3363"/>
    <w:rsid w:val="000A369A"/>
    <w:rsid w:val="000A488E"/>
    <w:rsid w:val="000A524C"/>
    <w:rsid w:val="000A6B14"/>
    <w:rsid w:val="000B001D"/>
    <w:rsid w:val="000B170D"/>
    <w:rsid w:val="000B1D9B"/>
    <w:rsid w:val="000B3EE5"/>
    <w:rsid w:val="000B47B1"/>
    <w:rsid w:val="000B7285"/>
    <w:rsid w:val="000B746E"/>
    <w:rsid w:val="000B7E5D"/>
    <w:rsid w:val="000C0FD7"/>
    <w:rsid w:val="000C173F"/>
    <w:rsid w:val="000C27A0"/>
    <w:rsid w:val="000C31C1"/>
    <w:rsid w:val="000C3400"/>
    <w:rsid w:val="000C3485"/>
    <w:rsid w:val="000C3709"/>
    <w:rsid w:val="000C3B7E"/>
    <w:rsid w:val="000C3BE9"/>
    <w:rsid w:val="000C4977"/>
    <w:rsid w:val="000C498C"/>
    <w:rsid w:val="000C49A0"/>
    <w:rsid w:val="000C676C"/>
    <w:rsid w:val="000C71BA"/>
    <w:rsid w:val="000C7899"/>
    <w:rsid w:val="000C7AD3"/>
    <w:rsid w:val="000D0281"/>
    <w:rsid w:val="000D0527"/>
    <w:rsid w:val="000D0BCF"/>
    <w:rsid w:val="000D0FED"/>
    <w:rsid w:val="000D12D5"/>
    <w:rsid w:val="000D1349"/>
    <w:rsid w:val="000D13BD"/>
    <w:rsid w:val="000D15AA"/>
    <w:rsid w:val="000D1C9B"/>
    <w:rsid w:val="000D1F1F"/>
    <w:rsid w:val="000D26D2"/>
    <w:rsid w:val="000D2978"/>
    <w:rsid w:val="000D3B91"/>
    <w:rsid w:val="000D46FE"/>
    <w:rsid w:val="000D50BA"/>
    <w:rsid w:val="000D59AB"/>
    <w:rsid w:val="000D61AF"/>
    <w:rsid w:val="000D68B1"/>
    <w:rsid w:val="000D7096"/>
    <w:rsid w:val="000D74A0"/>
    <w:rsid w:val="000D78F1"/>
    <w:rsid w:val="000D7DA4"/>
    <w:rsid w:val="000D7E14"/>
    <w:rsid w:val="000D7F10"/>
    <w:rsid w:val="000E1485"/>
    <w:rsid w:val="000E19C3"/>
    <w:rsid w:val="000E19C7"/>
    <w:rsid w:val="000E3379"/>
    <w:rsid w:val="000E3437"/>
    <w:rsid w:val="000E351E"/>
    <w:rsid w:val="000E41F3"/>
    <w:rsid w:val="000E4939"/>
    <w:rsid w:val="000E4B5F"/>
    <w:rsid w:val="000E58C9"/>
    <w:rsid w:val="000E5B70"/>
    <w:rsid w:val="000E5D66"/>
    <w:rsid w:val="000E7800"/>
    <w:rsid w:val="000F045D"/>
    <w:rsid w:val="000F091D"/>
    <w:rsid w:val="000F0F3A"/>
    <w:rsid w:val="000F1C02"/>
    <w:rsid w:val="000F32A4"/>
    <w:rsid w:val="000F3825"/>
    <w:rsid w:val="000F3CAD"/>
    <w:rsid w:val="000F3CFA"/>
    <w:rsid w:val="000F416D"/>
    <w:rsid w:val="000F5B45"/>
    <w:rsid w:val="000F5E5F"/>
    <w:rsid w:val="000F7419"/>
    <w:rsid w:val="000F7A34"/>
    <w:rsid w:val="000F7CE4"/>
    <w:rsid w:val="000F7D4F"/>
    <w:rsid w:val="00100974"/>
    <w:rsid w:val="00101111"/>
    <w:rsid w:val="0010170D"/>
    <w:rsid w:val="00102602"/>
    <w:rsid w:val="00103659"/>
    <w:rsid w:val="001047C3"/>
    <w:rsid w:val="00104A40"/>
    <w:rsid w:val="00104D8F"/>
    <w:rsid w:val="0010586C"/>
    <w:rsid w:val="00106EE6"/>
    <w:rsid w:val="001073DF"/>
    <w:rsid w:val="00110671"/>
    <w:rsid w:val="00111233"/>
    <w:rsid w:val="00113C3F"/>
    <w:rsid w:val="00113C9B"/>
    <w:rsid w:val="00113DF1"/>
    <w:rsid w:val="0011498B"/>
    <w:rsid w:val="00114C19"/>
    <w:rsid w:val="00114FA2"/>
    <w:rsid w:val="001174D1"/>
    <w:rsid w:val="00117A12"/>
    <w:rsid w:val="00117C46"/>
    <w:rsid w:val="00120CAB"/>
    <w:rsid w:val="001210E7"/>
    <w:rsid w:val="00121F0E"/>
    <w:rsid w:val="001222B9"/>
    <w:rsid w:val="001227BF"/>
    <w:rsid w:val="00124D01"/>
    <w:rsid w:val="00125770"/>
    <w:rsid w:val="00125946"/>
    <w:rsid w:val="00125F72"/>
    <w:rsid w:val="001277F9"/>
    <w:rsid w:val="00127F97"/>
    <w:rsid w:val="00130061"/>
    <w:rsid w:val="00131640"/>
    <w:rsid w:val="00133438"/>
    <w:rsid w:val="0013393F"/>
    <w:rsid w:val="00133DB5"/>
    <w:rsid w:val="00136D39"/>
    <w:rsid w:val="001375C7"/>
    <w:rsid w:val="0014087A"/>
    <w:rsid w:val="001419D8"/>
    <w:rsid w:val="001419FE"/>
    <w:rsid w:val="00141F66"/>
    <w:rsid w:val="00142244"/>
    <w:rsid w:val="001430A8"/>
    <w:rsid w:val="001436AA"/>
    <w:rsid w:val="00143AEA"/>
    <w:rsid w:val="00143FC4"/>
    <w:rsid w:val="0014511D"/>
    <w:rsid w:val="00145728"/>
    <w:rsid w:val="001458D0"/>
    <w:rsid w:val="00146102"/>
    <w:rsid w:val="00150037"/>
    <w:rsid w:val="00150F83"/>
    <w:rsid w:val="00151C9D"/>
    <w:rsid w:val="00151EDB"/>
    <w:rsid w:val="001534F9"/>
    <w:rsid w:val="00153EF5"/>
    <w:rsid w:val="00157642"/>
    <w:rsid w:val="001601FD"/>
    <w:rsid w:val="001609E6"/>
    <w:rsid w:val="001611EC"/>
    <w:rsid w:val="001627ED"/>
    <w:rsid w:val="001645AD"/>
    <w:rsid w:val="00164F3A"/>
    <w:rsid w:val="00165757"/>
    <w:rsid w:val="00165969"/>
    <w:rsid w:val="00166A8F"/>
    <w:rsid w:val="001671FC"/>
    <w:rsid w:val="00167ADB"/>
    <w:rsid w:val="00170EFE"/>
    <w:rsid w:val="001712D4"/>
    <w:rsid w:val="00171A0F"/>
    <w:rsid w:val="00171D6A"/>
    <w:rsid w:val="001727E1"/>
    <w:rsid w:val="001739F6"/>
    <w:rsid w:val="00173C53"/>
    <w:rsid w:val="001740BD"/>
    <w:rsid w:val="00174869"/>
    <w:rsid w:val="00175DB5"/>
    <w:rsid w:val="00176E1A"/>
    <w:rsid w:val="001770BF"/>
    <w:rsid w:val="0018055A"/>
    <w:rsid w:val="0018257B"/>
    <w:rsid w:val="001827B8"/>
    <w:rsid w:val="00184321"/>
    <w:rsid w:val="00185E4F"/>
    <w:rsid w:val="00185F9F"/>
    <w:rsid w:val="00190B22"/>
    <w:rsid w:val="00190ED8"/>
    <w:rsid w:val="001915D4"/>
    <w:rsid w:val="00193B93"/>
    <w:rsid w:val="00193E22"/>
    <w:rsid w:val="00194311"/>
    <w:rsid w:val="00194686"/>
    <w:rsid w:val="00194EAF"/>
    <w:rsid w:val="00195D9D"/>
    <w:rsid w:val="001962CF"/>
    <w:rsid w:val="00197C70"/>
    <w:rsid w:val="001A08C5"/>
    <w:rsid w:val="001A10FA"/>
    <w:rsid w:val="001A1B64"/>
    <w:rsid w:val="001A1B7B"/>
    <w:rsid w:val="001A2524"/>
    <w:rsid w:val="001A2BFD"/>
    <w:rsid w:val="001A2FBC"/>
    <w:rsid w:val="001A3169"/>
    <w:rsid w:val="001A36FE"/>
    <w:rsid w:val="001A5344"/>
    <w:rsid w:val="001A694B"/>
    <w:rsid w:val="001A7042"/>
    <w:rsid w:val="001A7580"/>
    <w:rsid w:val="001B046E"/>
    <w:rsid w:val="001B1885"/>
    <w:rsid w:val="001B321D"/>
    <w:rsid w:val="001B3348"/>
    <w:rsid w:val="001B3AB5"/>
    <w:rsid w:val="001B3E1E"/>
    <w:rsid w:val="001B5A0A"/>
    <w:rsid w:val="001B5D63"/>
    <w:rsid w:val="001B6974"/>
    <w:rsid w:val="001B74C1"/>
    <w:rsid w:val="001C0655"/>
    <w:rsid w:val="001C1427"/>
    <w:rsid w:val="001C1CB0"/>
    <w:rsid w:val="001C1CE6"/>
    <w:rsid w:val="001C2DEF"/>
    <w:rsid w:val="001C2FE2"/>
    <w:rsid w:val="001C30E7"/>
    <w:rsid w:val="001C35DC"/>
    <w:rsid w:val="001C382D"/>
    <w:rsid w:val="001C644E"/>
    <w:rsid w:val="001D0BEF"/>
    <w:rsid w:val="001D16E3"/>
    <w:rsid w:val="001D1900"/>
    <w:rsid w:val="001D19D6"/>
    <w:rsid w:val="001D23DE"/>
    <w:rsid w:val="001D2654"/>
    <w:rsid w:val="001D2E19"/>
    <w:rsid w:val="001D2F27"/>
    <w:rsid w:val="001D39F5"/>
    <w:rsid w:val="001D3D2F"/>
    <w:rsid w:val="001D43D7"/>
    <w:rsid w:val="001D4B65"/>
    <w:rsid w:val="001D66A4"/>
    <w:rsid w:val="001D7B72"/>
    <w:rsid w:val="001E0A91"/>
    <w:rsid w:val="001E174A"/>
    <w:rsid w:val="001E197B"/>
    <w:rsid w:val="001E4B0F"/>
    <w:rsid w:val="001E4DF4"/>
    <w:rsid w:val="001E5454"/>
    <w:rsid w:val="001E5E53"/>
    <w:rsid w:val="001E64BD"/>
    <w:rsid w:val="001E6D59"/>
    <w:rsid w:val="001E6F64"/>
    <w:rsid w:val="001E7C4F"/>
    <w:rsid w:val="001F06B5"/>
    <w:rsid w:val="001F0F28"/>
    <w:rsid w:val="001F0F6F"/>
    <w:rsid w:val="001F135C"/>
    <w:rsid w:val="001F16DF"/>
    <w:rsid w:val="001F1B5F"/>
    <w:rsid w:val="001F2416"/>
    <w:rsid w:val="001F34A2"/>
    <w:rsid w:val="001F3F5F"/>
    <w:rsid w:val="001F405F"/>
    <w:rsid w:val="001F464C"/>
    <w:rsid w:val="001F4F68"/>
    <w:rsid w:val="001F55E2"/>
    <w:rsid w:val="001F67F9"/>
    <w:rsid w:val="001F6BD5"/>
    <w:rsid w:val="001F6D2F"/>
    <w:rsid w:val="002008A4"/>
    <w:rsid w:val="00201526"/>
    <w:rsid w:val="00201655"/>
    <w:rsid w:val="00203301"/>
    <w:rsid w:val="00203744"/>
    <w:rsid w:val="00205655"/>
    <w:rsid w:val="00206780"/>
    <w:rsid w:val="00210508"/>
    <w:rsid w:val="00210880"/>
    <w:rsid w:val="002109C5"/>
    <w:rsid w:val="00212B4A"/>
    <w:rsid w:val="002134A0"/>
    <w:rsid w:val="002154EE"/>
    <w:rsid w:val="0021559E"/>
    <w:rsid w:val="00215E76"/>
    <w:rsid w:val="002162B0"/>
    <w:rsid w:val="00217A66"/>
    <w:rsid w:val="00217BAE"/>
    <w:rsid w:val="00217D5B"/>
    <w:rsid w:val="0022101D"/>
    <w:rsid w:val="00221330"/>
    <w:rsid w:val="00222486"/>
    <w:rsid w:val="002228E2"/>
    <w:rsid w:val="00222A24"/>
    <w:rsid w:val="00222EBF"/>
    <w:rsid w:val="0022349D"/>
    <w:rsid w:val="00227A11"/>
    <w:rsid w:val="0023055C"/>
    <w:rsid w:val="0023112A"/>
    <w:rsid w:val="0023395E"/>
    <w:rsid w:val="00233F5C"/>
    <w:rsid w:val="00234BFB"/>
    <w:rsid w:val="0023558F"/>
    <w:rsid w:val="0023644B"/>
    <w:rsid w:val="0023676C"/>
    <w:rsid w:val="00236D1D"/>
    <w:rsid w:val="002400D8"/>
    <w:rsid w:val="002410C0"/>
    <w:rsid w:val="00241B10"/>
    <w:rsid w:val="002429EE"/>
    <w:rsid w:val="00244554"/>
    <w:rsid w:val="002451C7"/>
    <w:rsid w:val="002452A3"/>
    <w:rsid w:val="0024535E"/>
    <w:rsid w:val="00245494"/>
    <w:rsid w:val="0024670C"/>
    <w:rsid w:val="00246A2D"/>
    <w:rsid w:val="00247578"/>
    <w:rsid w:val="00247682"/>
    <w:rsid w:val="00250402"/>
    <w:rsid w:val="002507F0"/>
    <w:rsid w:val="002522D6"/>
    <w:rsid w:val="00252B8A"/>
    <w:rsid w:val="00252C46"/>
    <w:rsid w:val="00252E15"/>
    <w:rsid w:val="00255255"/>
    <w:rsid w:val="00255369"/>
    <w:rsid w:val="002565FA"/>
    <w:rsid w:val="002576EA"/>
    <w:rsid w:val="002576F9"/>
    <w:rsid w:val="00257875"/>
    <w:rsid w:val="002613D1"/>
    <w:rsid w:val="0026370C"/>
    <w:rsid w:val="00263868"/>
    <w:rsid w:val="00263B11"/>
    <w:rsid w:val="00265424"/>
    <w:rsid w:val="0027289F"/>
    <w:rsid w:val="00272A40"/>
    <w:rsid w:val="00272C4D"/>
    <w:rsid w:val="00273639"/>
    <w:rsid w:val="002739F7"/>
    <w:rsid w:val="00274443"/>
    <w:rsid w:val="0027458A"/>
    <w:rsid w:val="002749E5"/>
    <w:rsid w:val="00274AD7"/>
    <w:rsid w:val="00274D80"/>
    <w:rsid w:val="00275228"/>
    <w:rsid w:val="002752AD"/>
    <w:rsid w:val="00275F05"/>
    <w:rsid w:val="00276CDB"/>
    <w:rsid w:val="002773A5"/>
    <w:rsid w:val="00281D47"/>
    <w:rsid w:val="002837F1"/>
    <w:rsid w:val="002857ED"/>
    <w:rsid w:val="0028583C"/>
    <w:rsid w:val="0028638E"/>
    <w:rsid w:val="002869D9"/>
    <w:rsid w:val="00286E61"/>
    <w:rsid w:val="00287A96"/>
    <w:rsid w:val="002908F7"/>
    <w:rsid w:val="00290B5B"/>
    <w:rsid w:val="00290FF0"/>
    <w:rsid w:val="002910C2"/>
    <w:rsid w:val="00291447"/>
    <w:rsid w:val="002918FC"/>
    <w:rsid w:val="00291B06"/>
    <w:rsid w:val="00293312"/>
    <w:rsid w:val="00294A44"/>
    <w:rsid w:val="00294F4C"/>
    <w:rsid w:val="00295511"/>
    <w:rsid w:val="002966E4"/>
    <w:rsid w:val="00297BD8"/>
    <w:rsid w:val="002A064D"/>
    <w:rsid w:val="002A0810"/>
    <w:rsid w:val="002A130B"/>
    <w:rsid w:val="002A154C"/>
    <w:rsid w:val="002A26AA"/>
    <w:rsid w:val="002A2EA3"/>
    <w:rsid w:val="002A35FF"/>
    <w:rsid w:val="002A3673"/>
    <w:rsid w:val="002A4634"/>
    <w:rsid w:val="002A62CD"/>
    <w:rsid w:val="002A6732"/>
    <w:rsid w:val="002A73BE"/>
    <w:rsid w:val="002B0985"/>
    <w:rsid w:val="002B1484"/>
    <w:rsid w:val="002B19F4"/>
    <w:rsid w:val="002B2A86"/>
    <w:rsid w:val="002B3BB7"/>
    <w:rsid w:val="002B489C"/>
    <w:rsid w:val="002B5B8D"/>
    <w:rsid w:val="002B60E2"/>
    <w:rsid w:val="002B64D9"/>
    <w:rsid w:val="002B6F7D"/>
    <w:rsid w:val="002B759E"/>
    <w:rsid w:val="002B7756"/>
    <w:rsid w:val="002C0671"/>
    <w:rsid w:val="002C1AD0"/>
    <w:rsid w:val="002C1CA0"/>
    <w:rsid w:val="002C2233"/>
    <w:rsid w:val="002C252A"/>
    <w:rsid w:val="002C331A"/>
    <w:rsid w:val="002C341A"/>
    <w:rsid w:val="002C3539"/>
    <w:rsid w:val="002C3630"/>
    <w:rsid w:val="002C3C82"/>
    <w:rsid w:val="002C3F72"/>
    <w:rsid w:val="002C5719"/>
    <w:rsid w:val="002C6692"/>
    <w:rsid w:val="002C6811"/>
    <w:rsid w:val="002C6CE6"/>
    <w:rsid w:val="002D0AD6"/>
    <w:rsid w:val="002D2CE0"/>
    <w:rsid w:val="002D2D5A"/>
    <w:rsid w:val="002D4E7C"/>
    <w:rsid w:val="002D5AF7"/>
    <w:rsid w:val="002D5CB9"/>
    <w:rsid w:val="002D655E"/>
    <w:rsid w:val="002D7B50"/>
    <w:rsid w:val="002D7B6C"/>
    <w:rsid w:val="002E10BD"/>
    <w:rsid w:val="002E17E9"/>
    <w:rsid w:val="002E206D"/>
    <w:rsid w:val="002E2DC7"/>
    <w:rsid w:val="002E36E2"/>
    <w:rsid w:val="002E4288"/>
    <w:rsid w:val="002E4ABB"/>
    <w:rsid w:val="002E587B"/>
    <w:rsid w:val="002F0700"/>
    <w:rsid w:val="002F08D8"/>
    <w:rsid w:val="002F1707"/>
    <w:rsid w:val="002F2517"/>
    <w:rsid w:val="002F379E"/>
    <w:rsid w:val="002F3D11"/>
    <w:rsid w:val="002F48BC"/>
    <w:rsid w:val="002F5122"/>
    <w:rsid w:val="002F560E"/>
    <w:rsid w:val="002F57A1"/>
    <w:rsid w:val="002F599E"/>
    <w:rsid w:val="002F61AD"/>
    <w:rsid w:val="002F621D"/>
    <w:rsid w:val="002F6995"/>
    <w:rsid w:val="002F70A4"/>
    <w:rsid w:val="003018EC"/>
    <w:rsid w:val="0030277A"/>
    <w:rsid w:val="00302C3B"/>
    <w:rsid w:val="00303D4F"/>
    <w:rsid w:val="00305400"/>
    <w:rsid w:val="0030598C"/>
    <w:rsid w:val="00305BA4"/>
    <w:rsid w:val="00307265"/>
    <w:rsid w:val="003072E1"/>
    <w:rsid w:val="00311793"/>
    <w:rsid w:val="00311E0A"/>
    <w:rsid w:val="0031264F"/>
    <w:rsid w:val="00312834"/>
    <w:rsid w:val="00313113"/>
    <w:rsid w:val="00313970"/>
    <w:rsid w:val="00314F63"/>
    <w:rsid w:val="003158B4"/>
    <w:rsid w:val="00316366"/>
    <w:rsid w:val="003171D1"/>
    <w:rsid w:val="0031759A"/>
    <w:rsid w:val="00317862"/>
    <w:rsid w:val="00320344"/>
    <w:rsid w:val="003204EA"/>
    <w:rsid w:val="003208A0"/>
    <w:rsid w:val="00321841"/>
    <w:rsid w:val="003219AA"/>
    <w:rsid w:val="0032235C"/>
    <w:rsid w:val="003229BE"/>
    <w:rsid w:val="003237FE"/>
    <w:rsid w:val="00324542"/>
    <w:rsid w:val="00324FDD"/>
    <w:rsid w:val="0032504E"/>
    <w:rsid w:val="0032516C"/>
    <w:rsid w:val="003255AD"/>
    <w:rsid w:val="0032612A"/>
    <w:rsid w:val="0032684F"/>
    <w:rsid w:val="00326FC2"/>
    <w:rsid w:val="00327A8C"/>
    <w:rsid w:val="00327AB0"/>
    <w:rsid w:val="00327DD4"/>
    <w:rsid w:val="00330BF5"/>
    <w:rsid w:val="0033108F"/>
    <w:rsid w:val="003319DA"/>
    <w:rsid w:val="00331DE4"/>
    <w:rsid w:val="00332B7C"/>
    <w:rsid w:val="00333093"/>
    <w:rsid w:val="00333B8E"/>
    <w:rsid w:val="00333F2C"/>
    <w:rsid w:val="00334D09"/>
    <w:rsid w:val="00335262"/>
    <w:rsid w:val="003358D9"/>
    <w:rsid w:val="00336BAA"/>
    <w:rsid w:val="00336C4D"/>
    <w:rsid w:val="003407E3"/>
    <w:rsid w:val="0034286E"/>
    <w:rsid w:val="0034431F"/>
    <w:rsid w:val="00344AE4"/>
    <w:rsid w:val="00345AE9"/>
    <w:rsid w:val="00346F66"/>
    <w:rsid w:val="00347D7C"/>
    <w:rsid w:val="00347F2B"/>
    <w:rsid w:val="0035137D"/>
    <w:rsid w:val="00351D40"/>
    <w:rsid w:val="00351F74"/>
    <w:rsid w:val="0035228C"/>
    <w:rsid w:val="00352773"/>
    <w:rsid w:val="0035296B"/>
    <w:rsid w:val="00352F9F"/>
    <w:rsid w:val="00353A17"/>
    <w:rsid w:val="0035501D"/>
    <w:rsid w:val="00355C4A"/>
    <w:rsid w:val="003563E7"/>
    <w:rsid w:val="00356AA4"/>
    <w:rsid w:val="00357E7A"/>
    <w:rsid w:val="0036149A"/>
    <w:rsid w:val="00361691"/>
    <w:rsid w:val="00362514"/>
    <w:rsid w:val="00362953"/>
    <w:rsid w:val="00362A22"/>
    <w:rsid w:val="00364C10"/>
    <w:rsid w:val="003650BC"/>
    <w:rsid w:val="003657F3"/>
    <w:rsid w:val="0036589D"/>
    <w:rsid w:val="00365975"/>
    <w:rsid w:val="0036627F"/>
    <w:rsid w:val="003664B3"/>
    <w:rsid w:val="00366D85"/>
    <w:rsid w:val="0036701F"/>
    <w:rsid w:val="00367B57"/>
    <w:rsid w:val="00367FD7"/>
    <w:rsid w:val="003702E8"/>
    <w:rsid w:val="003708E4"/>
    <w:rsid w:val="00370996"/>
    <w:rsid w:val="003709B7"/>
    <w:rsid w:val="00370D10"/>
    <w:rsid w:val="00371062"/>
    <w:rsid w:val="003718A2"/>
    <w:rsid w:val="0037295E"/>
    <w:rsid w:val="00372E61"/>
    <w:rsid w:val="003732C5"/>
    <w:rsid w:val="00373EFE"/>
    <w:rsid w:val="00373F7A"/>
    <w:rsid w:val="00374A2C"/>
    <w:rsid w:val="00376373"/>
    <w:rsid w:val="00376E70"/>
    <w:rsid w:val="00376ED4"/>
    <w:rsid w:val="003770A9"/>
    <w:rsid w:val="00377D3C"/>
    <w:rsid w:val="003805DB"/>
    <w:rsid w:val="00381410"/>
    <w:rsid w:val="0038252F"/>
    <w:rsid w:val="003840E2"/>
    <w:rsid w:val="00384AAE"/>
    <w:rsid w:val="003855ED"/>
    <w:rsid w:val="00385600"/>
    <w:rsid w:val="00386BD0"/>
    <w:rsid w:val="003875C4"/>
    <w:rsid w:val="00387A49"/>
    <w:rsid w:val="00387B2C"/>
    <w:rsid w:val="00387CC0"/>
    <w:rsid w:val="003902B1"/>
    <w:rsid w:val="0039035A"/>
    <w:rsid w:val="003906E2"/>
    <w:rsid w:val="00391A21"/>
    <w:rsid w:val="003922CB"/>
    <w:rsid w:val="00394404"/>
    <w:rsid w:val="00395240"/>
    <w:rsid w:val="003957AD"/>
    <w:rsid w:val="0039585E"/>
    <w:rsid w:val="00395AC3"/>
    <w:rsid w:val="00396181"/>
    <w:rsid w:val="00396554"/>
    <w:rsid w:val="00396BCD"/>
    <w:rsid w:val="003A37AE"/>
    <w:rsid w:val="003A40B5"/>
    <w:rsid w:val="003A43E4"/>
    <w:rsid w:val="003A4665"/>
    <w:rsid w:val="003A5BB8"/>
    <w:rsid w:val="003A5C20"/>
    <w:rsid w:val="003A5FC2"/>
    <w:rsid w:val="003A603D"/>
    <w:rsid w:val="003A6783"/>
    <w:rsid w:val="003A6BD6"/>
    <w:rsid w:val="003A6F74"/>
    <w:rsid w:val="003A6FAD"/>
    <w:rsid w:val="003A7CE8"/>
    <w:rsid w:val="003B09A8"/>
    <w:rsid w:val="003B1946"/>
    <w:rsid w:val="003B213A"/>
    <w:rsid w:val="003B33A2"/>
    <w:rsid w:val="003B374D"/>
    <w:rsid w:val="003B3C8C"/>
    <w:rsid w:val="003B4588"/>
    <w:rsid w:val="003B49F8"/>
    <w:rsid w:val="003B4A01"/>
    <w:rsid w:val="003B5B77"/>
    <w:rsid w:val="003B5EB5"/>
    <w:rsid w:val="003B5FD8"/>
    <w:rsid w:val="003B6277"/>
    <w:rsid w:val="003B6599"/>
    <w:rsid w:val="003B6DF9"/>
    <w:rsid w:val="003B74B0"/>
    <w:rsid w:val="003B76FA"/>
    <w:rsid w:val="003C00E3"/>
    <w:rsid w:val="003C014E"/>
    <w:rsid w:val="003C04AD"/>
    <w:rsid w:val="003C0602"/>
    <w:rsid w:val="003C0C0A"/>
    <w:rsid w:val="003C18DE"/>
    <w:rsid w:val="003C1C36"/>
    <w:rsid w:val="003C23F5"/>
    <w:rsid w:val="003C2C08"/>
    <w:rsid w:val="003C3B4B"/>
    <w:rsid w:val="003C412C"/>
    <w:rsid w:val="003C4D55"/>
    <w:rsid w:val="003C54FD"/>
    <w:rsid w:val="003C5571"/>
    <w:rsid w:val="003C6FE7"/>
    <w:rsid w:val="003C7340"/>
    <w:rsid w:val="003D053A"/>
    <w:rsid w:val="003D0903"/>
    <w:rsid w:val="003D1214"/>
    <w:rsid w:val="003D1ADE"/>
    <w:rsid w:val="003D387C"/>
    <w:rsid w:val="003D3921"/>
    <w:rsid w:val="003D4395"/>
    <w:rsid w:val="003D4BB6"/>
    <w:rsid w:val="003D6785"/>
    <w:rsid w:val="003D698B"/>
    <w:rsid w:val="003D7A63"/>
    <w:rsid w:val="003D7DAB"/>
    <w:rsid w:val="003D7E32"/>
    <w:rsid w:val="003E05CD"/>
    <w:rsid w:val="003E0636"/>
    <w:rsid w:val="003E0885"/>
    <w:rsid w:val="003E0923"/>
    <w:rsid w:val="003E101B"/>
    <w:rsid w:val="003E1247"/>
    <w:rsid w:val="003E1EAA"/>
    <w:rsid w:val="003E320B"/>
    <w:rsid w:val="003E41AC"/>
    <w:rsid w:val="003E49C3"/>
    <w:rsid w:val="003E5102"/>
    <w:rsid w:val="003E53DD"/>
    <w:rsid w:val="003E5F25"/>
    <w:rsid w:val="003E624F"/>
    <w:rsid w:val="003E7023"/>
    <w:rsid w:val="003E7B26"/>
    <w:rsid w:val="003F0C22"/>
    <w:rsid w:val="003F174C"/>
    <w:rsid w:val="003F2671"/>
    <w:rsid w:val="003F2C7B"/>
    <w:rsid w:val="003F38A2"/>
    <w:rsid w:val="003F6AAA"/>
    <w:rsid w:val="004000DF"/>
    <w:rsid w:val="004003F6"/>
    <w:rsid w:val="004008A8"/>
    <w:rsid w:val="00401054"/>
    <w:rsid w:val="0040106D"/>
    <w:rsid w:val="004037E6"/>
    <w:rsid w:val="00406715"/>
    <w:rsid w:val="0041012C"/>
    <w:rsid w:val="00411AE1"/>
    <w:rsid w:val="00411F5A"/>
    <w:rsid w:val="004137F4"/>
    <w:rsid w:val="00413C53"/>
    <w:rsid w:val="00413CA4"/>
    <w:rsid w:val="00413EA3"/>
    <w:rsid w:val="004146FB"/>
    <w:rsid w:val="004147CA"/>
    <w:rsid w:val="00414C97"/>
    <w:rsid w:val="004160AD"/>
    <w:rsid w:val="0041669A"/>
    <w:rsid w:val="00417349"/>
    <w:rsid w:val="00420C0A"/>
    <w:rsid w:val="00420D43"/>
    <w:rsid w:val="00420FBD"/>
    <w:rsid w:val="00421799"/>
    <w:rsid w:val="00422EC3"/>
    <w:rsid w:val="00423177"/>
    <w:rsid w:val="00423919"/>
    <w:rsid w:val="004239AF"/>
    <w:rsid w:val="00424A67"/>
    <w:rsid w:val="00426925"/>
    <w:rsid w:val="00426CBA"/>
    <w:rsid w:val="00427835"/>
    <w:rsid w:val="004278A4"/>
    <w:rsid w:val="00430B04"/>
    <w:rsid w:val="00431851"/>
    <w:rsid w:val="00431DB1"/>
    <w:rsid w:val="0043204C"/>
    <w:rsid w:val="0043238E"/>
    <w:rsid w:val="0043324B"/>
    <w:rsid w:val="00433DF4"/>
    <w:rsid w:val="004344AE"/>
    <w:rsid w:val="004347EA"/>
    <w:rsid w:val="004353DF"/>
    <w:rsid w:val="0043596B"/>
    <w:rsid w:val="00435AE3"/>
    <w:rsid w:val="00437598"/>
    <w:rsid w:val="0043783D"/>
    <w:rsid w:val="00437CA8"/>
    <w:rsid w:val="00437D46"/>
    <w:rsid w:val="00437F6A"/>
    <w:rsid w:val="0044038F"/>
    <w:rsid w:val="00440CAA"/>
    <w:rsid w:val="00440E0C"/>
    <w:rsid w:val="00441975"/>
    <w:rsid w:val="00442678"/>
    <w:rsid w:val="004434EF"/>
    <w:rsid w:val="00443ADB"/>
    <w:rsid w:val="0044509D"/>
    <w:rsid w:val="0044650D"/>
    <w:rsid w:val="00446C38"/>
    <w:rsid w:val="004474EE"/>
    <w:rsid w:val="00447BF2"/>
    <w:rsid w:val="00447DCC"/>
    <w:rsid w:val="004502C3"/>
    <w:rsid w:val="0045192D"/>
    <w:rsid w:val="00452581"/>
    <w:rsid w:val="004527F8"/>
    <w:rsid w:val="00453819"/>
    <w:rsid w:val="00456111"/>
    <w:rsid w:val="00456969"/>
    <w:rsid w:val="00456A13"/>
    <w:rsid w:val="004570D3"/>
    <w:rsid w:val="00457734"/>
    <w:rsid w:val="00457B2F"/>
    <w:rsid w:val="004602ED"/>
    <w:rsid w:val="004609F8"/>
    <w:rsid w:val="00460A34"/>
    <w:rsid w:val="0046102A"/>
    <w:rsid w:val="004615D3"/>
    <w:rsid w:val="004616BB"/>
    <w:rsid w:val="0046176D"/>
    <w:rsid w:val="0046471F"/>
    <w:rsid w:val="00466AE2"/>
    <w:rsid w:val="00467132"/>
    <w:rsid w:val="00467DEB"/>
    <w:rsid w:val="00467EA3"/>
    <w:rsid w:val="0047244F"/>
    <w:rsid w:val="0047321A"/>
    <w:rsid w:val="00474139"/>
    <w:rsid w:val="00474299"/>
    <w:rsid w:val="00474EC7"/>
    <w:rsid w:val="00476591"/>
    <w:rsid w:val="00476635"/>
    <w:rsid w:val="004769D4"/>
    <w:rsid w:val="00476C7F"/>
    <w:rsid w:val="00477BEC"/>
    <w:rsid w:val="00477C0C"/>
    <w:rsid w:val="00480290"/>
    <w:rsid w:val="004805A3"/>
    <w:rsid w:val="00480E90"/>
    <w:rsid w:val="004812ED"/>
    <w:rsid w:val="0048198B"/>
    <w:rsid w:val="00485F26"/>
    <w:rsid w:val="00490416"/>
    <w:rsid w:val="00490A5B"/>
    <w:rsid w:val="00490CC4"/>
    <w:rsid w:val="00491BDD"/>
    <w:rsid w:val="004927CA"/>
    <w:rsid w:val="00494178"/>
    <w:rsid w:val="00494421"/>
    <w:rsid w:val="00494675"/>
    <w:rsid w:val="00494814"/>
    <w:rsid w:val="0049528F"/>
    <w:rsid w:val="004965B3"/>
    <w:rsid w:val="004970A1"/>
    <w:rsid w:val="004A0001"/>
    <w:rsid w:val="004A48ED"/>
    <w:rsid w:val="004A4979"/>
    <w:rsid w:val="004A4FFD"/>
    <w:rsid w:val="004A5268"/>
    <w:rsid w:val="004A57B2"/>
    <w:rsid w:val="004B0F1E"/>
    <w:rsid w:val="004B0FA9"/>
    <w:rsid w:val="004B1D6A"/>
    <w:rsid w:val="004B35C1"/>
    <w:rsid w:val="004B36CA"/>
    <w:rsid w:val="004B3755"/>
    <w:rsid w:val="004B3760"/>
    <w:rsid w:val="004B3FB1"/>
    <w:rsid w:val="004B5651"/>
    <w:rsid w:val="004B6DB4"/>
    <w:rsid w:val="004C04FC"/>
    <w:rsid w:val="004C0D9C"/>
    <w:rsid w:val="004C14B3"/>
    <w:rsid w:val="004C2517"/>
    <w:rsid w:val="004C263C"/>
    <w:rsid w:val="004C306D"/>
    <w:rsid w:val="004C37F1"/>
    <w:rsid w:val="004C383F"/>
    <w:rsid w:val="004C39DB"/>
    <w:rsid w:val="004C41BB"/>
    <w:rsid w:val="004C43AF"/>
    <w:rsid w:val="004C508C"/>
    <w:rsid w:val="004C5AE6"/>
    <w:rsid w:val="004C698C"/>
    <w:rsid w:val="004C6D80"/>
    <w:rsid w:val="004C76DA"/>
    <w:rsid w:val="004D0128"/>
    <w:rsid w:val="004D0FC8"/>
    <w:rsid w:val="004D1875"/>
    <w:rsid w:val="004D1F67"/>
    <w:rsid w:val="004D27B1"/>
    <w:rsid w:val="004D32ED"/>
    <w:rsid w:val="004D393C"/>
    <w:rsid w:val="004D3AEF"/>
    <w:rsid w:val="004D4EE8"/>
    <w:rsid w:val="004D54AB"/>
    <w:rsid w:val="004D5A1E"/>
    <w:rsid w:val="004D69C7"/>
    <w:rsid w:val="004D70BC"/>
    <w:rsid w:val="004E03BC"/>
    <w:rsid w:val="004E0840"/>
    <w:rsid w:val="004E0AFC"/>
    <w:rsid w:val="004E0F54"/>
    <w:rsid w:val="004E1139"/>
    <w:rsid w:val="004E120D"/>
    <w:rsid w:val="004E2032"/>
    <w:rsid w:val="004E20B9"/>
    <w:rsid w:val="004E247E"/>
    <w:rsid w:val="004E2865"/>
    <w:rsid w:val="004E2DF0"/>
    <w:rsid w:val="004E37EC"/>
    <w:rsid w:val="004E3949"/>
    <w:rsid w:val="004E5214"/>
    <w:rsid w:val="004E54B1"/>
    <w:rsid w:val="004E642C"/>
    <w:rsid w:val="004E7B8F"/>
    <w:rsid w:val="004F0191"/>
    <w:rsid w:val="004F1280"/>
    <w:rsid w:val="004F1505"/>
    <w:rsid w:val="004F3663"/>
    <w:rsid w:val="004F38A1"/>
    <w:rsid w:val="004F4B32"/>
    <w:rsid w:val="004F4E26"/>
    <w:rsid w:val="004F4F3A"/>
    <w:rsid w:val="004F55C6"/>
    <w:rsid w:val="004F5E59"/>
    <w:rsid w:val="004F5EB7"/>
    <w:rsid w:val="004F5F44"/>
    <w:rsid w:val="004F7F55"/>
    <w:rsid w:val="00500085"/>
    <w:rsid w:val="00501458"/>
    <w:rsid w:val="0050186A"/>
    <w:rsid w:val="005019FD"/>
    <w:rsid w:val="005025B9"/>
    <w:rsid w:val="00503987"/>
    <w:rsid w:val="005044F7"/>
    <w:rsid w:val="00504F7A"/>
    <w:rsid w:val="005058CD"/>
    <w:rsid w:val="00505CD9"/>
    <w:rsid w:val="00506155"/>
    <w:rsid w:val="00506298"/>
    <w:rsid w:val="00507589"/>
    <w:rsid w:val="00513F87"/>
    <w:rsid w:val="0051497B"/>
    <w:rsid w:val="00520BCD"/>
    <w:rsid w:val="00520FEF"/>
    <w:rsid w:val="0052143D"/>
    <w:rsid w:val="0052416F"/>
    <w:rsid w:val="0052482A"/>
    <w:rsid w:val="00525701"/>
    <w:rsid w:val="00530484"/>
    <w:rsid w:val="005314C9"/>
    <w:rsid w:val="005322E6"/>
    <w:rsid w:val="0053253F"/>
    <w:rsid w:val="0053270A"/>
    <w:rsid w:val="00533601"/>
    <w:rsid w:val="00533E65"/>
    <w:rsid w:val="0053615B"/>
    <w:rsid w:val="00536EA3"/>
    <w:rsid w:val="00540C9E"/>
    <w:rsid w:val="00541B93"/>
    <w:rsid w:val="00542023"/>
    <w:rsid w:val="00542413"/>
    <w:rsid w:val="00542735"/>
    <w:rsid w:val="00542994"/>
    <w:rsid w:val="00542C48"/>
    <w:rsid w:val="005438DB"/>
    <w:rsid w:val="00543BA4"/>
    <w:rsid w:val="0054411E"/>
    <w:rsid w:val="00545295"/>
    <w:rsid w:val="005452A6"/>
    <w:rsid w:val="00545899"/>
    <w:rsid w:val="00545941"/>
    <w:rsid w:val="00550397"/>
    <w:rsid w:val="005523B3"/>
    <w:rsid w:val="00552DBD"/>
    <w:rsid w:val="00553259"/>
    <w:rsid w:val="00553600"/>
    <w:rsid w:val="0055418C"/>
    <w:rsid w:val="00554F60"/>
    <w:rsid w:val="005551DA"/>
    <w:rsid w:val="005563F6"/>
    <w:rsid w:val="00556880"/>
    <w:rsid w:val="0055714E"/>
    <w:rsid w:val="005573A0"/>
    <w:rsid w:val="00557A4E"/>
    <w:rsid w:val="00560724"/>
    <w:rsid w:val="00561835"/>
    <w:rsid w:val="00562D2E"/>
    <w:rsid w:val="00562FA0"/>
    <w:rsid w:val="00563578"/>
    <w:rsid w:val="00563B03"/>
    <w:rsid w:val="00565314"/>
    <w:rsid w:val="00565C62"/>
    <w:rsid w:val="0056668D"/>
    <w:rsid w:val="00570FAB"/>
    <w:rsid w:val="00572430"/>
    <w:rsid w:val="00572A2F"/>
    <w:rsid w:val="00572EFE"/>
    <w:rsid w:val="00573167"/>
    <w:rsid w:val="00574A54"/>
    <w:rsid w:val="005757AD"/>
    <w:rsid w:val="00577EBE"/>
    <w:rsid w:val="00580DD3"/>
    <w:rsid w:val="0058280F"/>
    <w:rsid w:val="0058389C"/>
    <w:rsid w:val="00584C26"/>
    <w:rsid w:val="00584D6A"/>
    <w:rsid w:val="0058537A"/>
    <w:rsid w:val="005853AF"/>
    <w:rsid w:val="00585B40"/>
    <w:rsid w:val="00585D0C"/>
    <w:rsid w:val="005869CF"/>
    <w:rsid w:val="00586DC8"/>
    <w:rsid w:val="00586E5C"/>
    <w:rsid w:val="00587A1E"/>
    <w:rsid w:val="00587BEE"/>
    <w:rsid w:val="00590490"/>
    <w:rsid w:val="0059173B"/>
    <w:rsid w:val="00591751"/>
    <w:rsid w:val="00591BE6"/>
    <w:rsid w:val="00593348"/>
    <w:rsid w:val="00593564"/>
    <w:rsid w:val="00593B8C"/>
    <w:rsid w:val="00593CC2"/>
    <w:rsid w:val="00594316"/>
    <w:rsid w:val="005951F6"/>
    <w:rsid w:val="005956DA"/>
    <w:rsid w:val="005962AC"/>
    <w:rsid w:val="005A0A20"/>
    <w:rsid w:val="005A68F3"/>
    <w:rsid w:val="005A6A5A"/>
    <w:rsid w:val="005A75F0"/>
    <w:rsid w:val="005A7654"/>
    <w:rsid w:val="005A7B94"/>
    <w:rsid w:val="005B01AD"/>
    <w:rsid w:val="005B1DA0"/>
    <w:rsid w:val="005B259F"/>
    <w:rsid w:val="005B25EC"/>
    <w:rsid w:val="005B2A2A"/>
    <w:rsid w:val="005B31C9"/>
    <w:rsid w:val="005B38EF"/>
    <w:rsid w:val="005B41E9"/>
    <w:rsid w:val="005B429E"/>
    <w:rsid w:val="005B46B9"/>
    <w:rsid w:val="005B47C9"/>
    <w:rsid w:val="005B507C"/>
    <w:rsid w:val="005B5F92"/>
    <w:rsid w:val="005B6AF4"/>
    <w:rsid w:val="005B7131"/>
    <w:rsid w:val="005C0724"/>
    <w:rsid w:val="005C1227"/>
    <w:rsid w:val="005C20A8"/>
    <w:rsid w:val="005C222A"/>
    <w:rsid w:val="005C4397"/>
    <w:rsid w:val="005C46ED"/>
    <w:rsid w:val="005C56F5"/>
    <w:rsid w:val="005C5D62"/>
    <w:rsid w:val="005C5EB6"/>
    <w:rsid w:val="005C62C8"/>
    <w:rsid w:val="005C6D28"/>
    <w:rsid w:val="005C79AF"/>
    <w:rsid w:val="005C7BB6"/>
    <w:rsid w:val="005D0290"/>
    <w:rsid w:val="005D2ECC"/>
    <w:rsid w:val="005D5543"/>
    <w:rsid w:val="005D589E"/>
    <w:rsid w:val="005D5FDE"/>
    <w:rsid w:val="005D74A9"/>
    <w:rsid w:val="005D779D"/>
    <w:rsid w:val="005D7F8C"/>
    <w:rsid w:val="005E03CB"/>
    <w:rsid w:val="005E06F9"/>
    <w:rsid w:val="005E3643"/>
    <w:rsid w:val="005E3B48"/>
    <w:rsid w:val="005E40DE"/>
    <w:rsid w:val="005E471A"/>
    <w:rsid w:val="005E5D56"/>
    <w:rsid w:val="005E68C9"/>
    <w:rsid w:val="005E6D4A"/>
    <w:rsid w:val="005E7426"/>
    <w:rsid w:val="005E7496"/>
    <w:rsid w:val="005F085E"/>
    <w:rsid w:val="005F0B83"/>
    <w:rsid w:val="005F1852"/>
    <w:rsid w:val="005F1A0B"/>
    <w:rsid w:val="005F2542"/>
    <w:rsid w:val="005F285B"/>
    <w:rsid w:val="005F28E6"/>
    <w:rsid w:val="005F3D3A"/>
    <w:rsid w:val="005F3EBA"/>
    <w:rsid w:val="005F438A"/>
    <w:rsid w:val="005F5390"/>
    <w:rsid w:val="005F5C73"/>
    <w:rsid w:val="005F5D95"/>
    <w:rsid w:val="005F6505"/>
    <w:rsid w:val="005F692F"/>
    <w:rsid w:val="006003DD"/>
    <w:rsid w:val="00601022"/>
    <w:rsid w:val="0060228F"/>
    <w:rsid w:val="00602DF1"/>
    <w:rsid w:val="0060535F"/>
    <w:rsid w:val="00605D95"/>
    <w:rsid w:val="00607073"/>
    <w:rsid w:val="00607CD5"/>
    <w:rsid w:val="00607D33"/>
    <w:rsid w:val="006107C4"/>
    <w:rsid w:val="006111AC"/>
    <w:rsid w:val="00613F56"/>
    <w:rsid w:val="00614106"/>
    <w:rsid w:val="00615B39"/>
    <w:rsid w:val="00615BE6"/>
    <w:rsid w:val="00616528"/>
    <w:rsid w:val="00620735"/>
    <w:rsid w:val="00620F8B"/>
    <w:rsid w:val="006223C4"/>
    <w:rsid w:val="0062257F"/>
    <w:rsid w:val="006225C9"/>
    <w:rsid w:val="00622F46"/>
    <w:rsid w:val="00623339"/>
    <w:rsid w:val="00623F81"/>
    <w:rsid w:val="0062486F"/>
    <w:rsid w:val="00625569"/>
    <w:rsid w:val="0062782D"/>
    <w:rsid w:val="00627F8D"/>
    <w:rsid w:val="006308D7"/>
    <w:rsid w:val="00630F22"/>
    <w:rsid w:val="00630F83"/>
    <w:rsid w:val="006313FA"/>
    <w:rsid w:val="006319CC"/>
    <w:rsid w:val="006326C5"/>
    <w:rsid w:val="00632916"/>
    <w:rsid w:val="0063352D"/>
    <w:rsid w:val="0063429B"/>
    <w:rsid w:val="00634353"/>
    <w:rsid w:val="00636B15"/>
    <w:rsid w:val="00637D80"/>
    <w:rsid w:val="0064094A"/>
    <w:rsid w:val="00640D61"/>
    <w:rsid w:val="00640F75"/>
    <w:rsid w:val="0064237F"/>
    <w:rsid w:val="006424C3"/>
    <w:rsid w:val="0064358D"/>
    <w:rsid w:val="00644800"/>
    <w:rsid w:val="00644E86"/>
    <w:rsid w:val="00645B1E"/>
    <w:rsid w:val="00645E3E"/>
    <w:rsid w:val="00646119"/>
    <w:rsid w:val="00646F7B"/>
    <w:rsid w:val="00650CC5"/>
    <w:rsid w:val="00651173"/>
    <w:rsid w:val="00651D73"/>
    <w:rsid w:val="00652B94"/>
    <w:rsid w:val="00652D9A"/>
    <w:rsid w:val="00652DFB"/>
    <w:rsid w:val="006540DC"/>
    <w:rsid w:val="00654B35"/>
    <w:rsid w:val="006550DE"/>
    <w:rsid w:val="00655C78"/>
    <w:rsid w:val="0065623C"/>
    <w:rsid w:val="006578FE"/>
    <w:rsid w:val="00660183"/>
    <w:rsid w:val="00660817"/>
    <w:rsid w:val="00660936"/>
    <w:rsid w:val="00660D2E"/>
    <w:rsid w:val="00661414"/>
    <w:rsid w:val="006614BD"/>
    <w:rsid w:val="006614C2"/>
    <w:rsid w:val="00661684"/>
    <w:rsid w:val="006623B7"/>
    <w:rsid w:val="0066422C"/>
    <w:rsid w:val="00664C85"/>
    <w:rsid w:val="00665044"/>
    <w:rsid w:val="006652D2"/>
    <w:rsid w:val="00666514"/>
    <w:rsid w:val="006666C5"/>
    <w:rsid w:val="00667D93"/>
    <w:rsid w:val="00670A31"/>
    <w:rsid w:val="00671591"/>
    <w:rsid w:val="00671DB3"/>
    <w:rsid w:val="00671ECA"/>
    <w:rsid w:val="006737DA"/>
    <w:rsid w:val="00673E21"/>
    <w:rsid w:val="0067415D"/>
    <w:rsid w:val="00674EB3"/>
    <w:rsid w:val="00675CD0"/>
    <w:rsid w:val="006767FC"/>
    <w:rsid w:val="0067703D"/>
    <w:rsid w:val="006775C5"/>
    <w:rsid w:val="00677AE6"/>
    <w:rsid w:val="00677D6B"/>
    <w:rsid w:val="006802EA"/>
    <w:rsid w:val="00680361"/>
    <w:rsid w:val="0068158E"/>
    <w:rsid w:val="00681B46"/>
    <w:rsid w:val="00683A8D"/>
    <w:rsid w:val="00684549"/>
    <w:rsid w:val="00684C30"/>
    <w:rsid w:val="00685F23"/>
    <w:rsid w:val="00686835"/>
    <w:rsid w:val="00686BA4"/>
    <w:rsid w:val="00686C7E"/>
    <w:rsid w:val="00687041"/>
    <w:rsid w:val="0068769F"/>
    <w:rsid w:val="00687E62"/>
    <w:rsid w:val="00690405"/>
    <w:rsid w:val="00690C6C"/>
    <w:rsid w:val="006912B7"/>
    <w:rsid w:val="006914B6"/>
    <w:rsid w:val="00691822"/>
    <w:rsid w:val="006926C2"/>
    <w:rsid w:val="0069285E"/>
    <w:rsid w:val="00692B8E"/>
    <w:rsid w:val="006935AE"/>
    <w:rsid w:val="00694D42"/>
    <w:rsid w:val="006965FD"/>
    <w:rsid w:val="006971B2"/>
    <w:rsid w:val="006A0270"/>
    <w:rsid w:val="006A0596"/>
    <w:rsid w:val="006A0E17"/>
    <w:rsid w:val="006A2068"/>
    <w:rsid w:val="006A23CF"/>
    <w:rsid w:val="006A2516"/>
    <w:rsid w:val="006A2D67"/>
    <w:rsid w:val="006A42B2"/>
    <w:rsid w:val="006A52B3"/>
    <w:rsid w:val="006A5566"/>
    <w:rsid w:val="006A6423"/>
    <w:rsid w:val="006A7610"/>
    <w:rsid w:val="006B1031"/>
    <w:rsid w:val="006B16D2"/>
    <w:rsid w:val="006B39D6"/>
    <w:rsid w:val="006B46A9"/>
    <w:rsid w:val="006B5926"/>
    <w:rsid w:val="006B632A"/>
    <w:rsid w:val="006B663A"/>
    <w:rsid w:val="006B67A2"/>
    <w:rsid w:val="006B771A"/>
    <w:rsid w:val="006C1348"/>
    <w:rsid w:val="006C14F2"/>
    <w:rsid w:val="006C1CA3"/>
    <w:rsid w:val="006C3296"/>
    <w:rsid w:val="006C4A9A"/>
    <w:rsid w:val="006C4E46"/>
    <w:rsid w:val="006C6406"/>
    <w:rsid w:val="006C6CB2"/>
    <w:rsid w:val="006D015F"/>
    <w:rsid w:val="006D0ECD"/>
    <w:rsid w:val="006D2B4A"/>
    <w:rsid w:val="006D3081"/>
    <w:rsid w:val="006D4D72"/>
    <w:rsid w:val="006D51CE"/>
    <w:rsid w:val="006D6A13"/>
    <w:rsid w:val="006D7220"/>
    <w:rsid w:val="006D765C"/>
    <w:rsid w:val="006D76FB"/>
    <w:rsid w:val="006D7913"/>
    <w:rsid w:val="006D7B04"/>
    <w:rsid w:val="006E068C"/>
    <w:rsid w:val="006E1085"/>
    <w:rsid w:val="006E1755"/>
    <w:rsid w:val="006E17A0"/>
    <w:rsid w:val="006E1ED4"/>
    <w:rsid w:val="006E2BA3"/>
    <w:rsid w:val="006E3834"/>
    <w:rsid w:val="006E4080"/>
    <w:rsid w:val="006E482A"/>
    <w:rsid w:val="006E53B3"/>
    <w:rsid w:val="006E5A87"/>
    <w:rsid w:val="006E5AF2"/>
    <w:rsid w:val="006E7C6B"/>
    <w:rsid w:val="006E7E08"/>
    <w:rsid w:val="006F08AF"/>
    <w:rsid w:val="006F0B54"/>
    <w:rsid w:val="006F1334"/>
    <w:rsid w:val="006F1744"/>
    <w:rsid w:val="006F187E"/>
    <w:rsid w:val="006F3221"/>
    <w:rsid w:val="006F3F04"/>
    <w:rsid w:val="006F452B"/>
    <w:rsid w:val="006F4F10"/>
    <w:rsid w:val="006F5437"/>
    <w:rsid w:val="006F59BC"/>
    <w:rsid w:val="006F5D80"/>
    <w:rsid w:val="006F5FCA"/>
    <w:rsid w:val="006F7769"/>
    <w:rsid w:val="00700C60"/>
    <w:rsid w:val="00701406"/>
    <w:rsid w:val="00701718"/>
    <w:rsid w:val="00701F1E"/>
    <w:rsid w:val="007044C2"/>
    <w:rsid w:val="00704688"/>
    <w:rsid w:val="0070485E"/>
    <w:rsid w:val="00705772"/>
    <w:rsid w:val="00705854"/>
    <w:rsid w:val="007068B8"/>
    <w:rsid w:val="007109B9"/>
    <w:rsid w:val="007113B4"/>
    <w:rsid w:val="0071348A"/>
    <w:rsid w:val="007137EE"/>
    <w:rsid w:val="00715E8A"/>
    <w:rsid w:val="0071617C"/>
    <w:rsid w:val="0071690E"/>
    <w:rsid w:val="00717926"/>
    <w:rsid w:val="00720F28"/>
    <w:rsid w:val="00720F6F"/>
    <w:rsid w:val="00721673"/>
    <w:rsid w:val="00722938"/>
    <w:rsid w:val="00722B90"/>
    <w:rsid w:val="00722C2F"/>
    <w:rsid w:val="00723457"/>
    <w:rsid w:val="007238B1"/>
    <w:rsid w:val="00723C24"/>
    <w:rsid w:val="007244CE"/>
    <w:rsid w:val="00724DFB"/>
    <w:rsid w:val="00725A50"/>
    <w:rsid w:val="00725B93"/>
    <w:rsid w:val="00726857"/>
    <w:rsid w:val="007269A0"/>
    <w:rsid w:val="00726E57"/>
    <w:rsid w:val="00727514"/>
    <w:rsid w:val="007275CA"/>
    <w:rsid w:val="00727C0A"/>
    <w:rsid w:val="0073002B"/>
    <w:rsid w:val="00730679"/>
    <w:rsid w:val="00731143"/>
    <w:rsid w:val="00731AE9"/>
    <w:rsid w:val="007343B0"/>
    <w:rsid w:val="007361A7"/>
    <w:rsid w:val="00740D66"/>
    <w:rsid w:val="00741836"/>
    <w:rsid w:val="00744E58"/>
    <w:rsid w:val="00746EC2"/>
    <w:rsid w:val="007516D1"/>
    <w:rsid w:val="0075240A"/>
    <w:rsid w:val="0075260C"/>
    <w:rsid w:val="00752F43"/>
    <w:rsid w:val="007530D2"/>
    <w:rsid w:val="007543B0"/>
    <w:rsid w:val="007546B6"/>
    <w:rsid w:val="007560F1"/>
    <w:rsid w:val="00756464"/>
    <w:rsid w:val="007572C9"/>
    <w:rsid w:val="00757732"/>
    <w:rsid w:val="00757A56"/>
    <w:rsid w:val="00757FF3"/>
    <w:rsid w:val="00760096"/>
    <w:rsid w:val="0076125B"/>
    <w:rsid w:val="007613AA"/>
    <w:rsid w:val="00761E5C"/>
    <w:rsid w:val="007628D8"/>
    <w:rsid w:val="007633F2"/>
    <w:rsid w:val="007648D4"/>
    <w:rsid w:val="00764D22"/>
    <w:rsid w:val="00765440"/>
    <w:rsid w:val="0076572C"/>
    <w:rsid w:val="007671A0"/>
    <w:rsid w:val="007701C7"/>
    <w:rsid w:val="007724EC"/>
    <w:rsid w:val="007733A6"/>
    <w:rsid w:val="00773F30"/>
    <w:rsid w:val="007756C7"/>
    <w:rsid w:val="007763D2"/>
    <w:rsid w:val="0077739F"/>
    <w:rsid w:val="0078046B"/>
    <w:rsid w:val="00780968"/>
    <w:rsid w:val="007817AE"/>
    <w:rsid w:val="00781E44"/>
    <w:rsid w:val="00782713"/>
    <w:rsid w:val="00782910"/>
    <w:rsid w:val="00782B5D"/>
    <w:rsid w:val="00783064"/>
    <w:rsid w:val="00783236"/>
    <w:rsid w:val="007832EF"/>
    <w:rsid w:val="0078336D"/>
    <w:rsid w:val="00786370"/>
    <w:rsid w:val="00786753"/>
    <w:rsid w:val="00786DB1"/>
    <w:rsid w:val="0078725C"/>
    <w:rsid w:val="00787663"/>
    <w:rsid w:val="007914D8"/>
    <w:rsid w:val="007922EF"/>
    <w:rsid w:val="007968C5"/>
    <w:rsid w:val="00796FA5"/>
    <w:rsid w:val="007A0627"/>
    <w:rsid w:val="007A1740"/>
    <w:rsid w:val="007A1906"/>
    <w:rsid w:val="007A3AB6"/>
    <w:rsid w:val="007A5076"/>
    <w:rsid w:val="007A53CE"/>
    <w:rsid w:val="007A5D4D"/>
    <w:rsid w:val="007A66A1"/>
    <w:rsid w:val="007A6778"/>
    <w:rsid w:val="007A6874"/>
    <w:rsid w:val="007A6A61"/>
    <w:rsid w:val="007A759C"/>
    <w:rsid w:val="007B02AD"/>
    <w:rsid w:val="007B0AA2"/>
    <w:rsid w:val="007B1808"/>
    <w:rsid w:val="007B1860"/>
    <w:rsid w:val="007B214A"/>
    <w:rsid w:val="007B23B9"/>
    <w:rsid w:val="007B26D2"/>
    <w:rsid w:val="007B3933"/>
    <w:rsid w:val="007B3B02"/>
    <w:rsid w:val="007B59C9"/>
    <w:rsid w:val="007B6006"/>
    <w:rsid w:val="007B6EFE"/>
    <w:rsid w:val="007B70E9"/>
    <w:rsid w:val="007C0291"/>
    <w:rsid w:val="007C068D"/>
    <w:rsid w:val="007C06D1"/>
    <w:rsid w:val="007C13D1"/>
    <w:rsid w:val="007C44A2"/>
    <w:rsid w:val="007C5A12"/>
    <w:rsid w:val="007C6D56"/>
    <w:rsid w:val="007C7255"/>
    <w:rsid w:val="007D0577"/>
    <w:rsid w:val="007D0974"/>
    <w:rsid w:val="007D1432"/>
    <w:rsid w:val="007D147F"/>
    <w:rsid w:val="007D16FE"/>
    <w:rsid w:val="007D1AC0"/>
    <w:rsid w:val="007D2923"/>
    <w:rsid w:val="007D2F2D"/>
    <w:rsid w:val="007D39FB"/>
    <w:rsid w:val="007D3E0C"/>
    <w:rsid w:val="007D3ED7"/>
    <w:rsid w:val="007D4029"/>
    <w:rsid w:val="007D45E0"/>
    <w:rsid w:val="007D58CD"/>
    <w:rsid w:val="007D5DA8"/>
    <w:rsid w:val="007D5E1E"/>
    <w:rsid w:val="007D6F49"/>
    <w:rsid w:val="007D7D1F"/>
    <w:rsid w:val="007D7E8D"/>
    <w:rsid w:val="007E0669"/>
    <w:rsid w:val="007E2619"/>
    <w:rsid w:val="007E5B15"/>
    <w:rsid w:val="007E5FE3"/>
    <w:rsid w:val="007E7410"/>
    <w:rsid w:val="007E79CC"/>
    <w:rsid w:val="007E7B2C"/>
    <w:rsid w:val="007F0BF2"/>
    <w:rsid w:val="007F0D11"/>
    <w:rsid w:val="007F2CC3"/>
    <w:rsid w:val="007F499C"/>
    <w:rsid w:val="007F70D2"/>
    <w:rsid w:val="00800779"/>
    <w:rsid w:val="00801770"/>
    <w:rsid w:val="00801923"/>
    <w:rsid w:val="00801EC4"/>
    <w:rsid w:val="008028B7"/>
    <w:rsid w:val="00803462"/>
    <w:rsid w:val="00803491"/>
    <w:rsid w:val="00803A22"/>
    <w:rsid w:val="00805698"/>
    <w:rsid w:val="00806051"/>
    <w:rsid w:val="008075D4"/>
    <w:rsid w:val="0080799E"/>
    <w:rsid w:val="00810386"/>
    <w:rsid w:val="00811C3F"/>
    <w:rsid w:val="008124A7"/>
    <w:rsid w:val="00813729"/>
    <w:rsid w:val="008148B3"/>
    <w:rsid w:val="008161BF"/>
    <w:rsid w:val="0081688D"/>
    <w:rsid w:val="00816B11"/>
    <w:rsid w:val="0081738E"/>
    <w:rsid w:val="00817B0C"/>
    <w:rsid w:val="00820251"/>
    <w:rsid w:val="008223F6"/>
    <w:rsid w:val="00822FED"/>
    <w:rsid w:val="008233AE"/>
    <w:rsid w:val="00823E24"/>
    <w:rsid w:val="008242F8"/>
    <w:rsid w:val="0082491E"/>
    <w:rsid w:val="00825712"/>
    <w:rsid w:val="00826084"/>
    <w:rsid w:val="0083083B"/>
    <w:rsid w:val="008308A0"/>
    <w:rsid w:val="00830B00"/>
    <w:rsid w:val="00833338"/>
    <w:rsid w:val="00833F4E"/>
    <w:rsid w:val="008346CF"/>
    <w:rsid w:val="00834A4F"/>
    <w:rsid w:val="0083522F"/>
    <w:rsid w:val="00836C3E"/>
    <w:rsid w:val="00836DAE"/>
    <w:rsid w:val="00837CAC"/>
    <w:rsid w:val="00837E93"/>
    <w:rsid w:val="008413EF"/>
    <w:rsid w:val="00841CFC"/>
    <w:rsid w:val="0084215C"/>
    <w:rsid w:val="00842176"/>
    <w:rsid w:val="008423F2"/>
    <w:rsid w:val="0084344A"/>
    <w:rsid w:val="00843901"/>
    <w:rsid w:val="00843F29"/>
    <w:rsid w:val="008444A5"/>
    <w:rsid w:val="00844A27"/>
    <w:rsid w:val="00844A37"/>
    <w:rsid w:val="00844EE6"/>
    <w:rsid w:val="008451AC"/>
    <w:rsid w:val="00846C06"/>
    <w:rsid w:val="00847639"/>
    <w:rsid w:val="00847876"/>
    <w:rsid w:val="0085071C"/>
    <w:rsid w:val="00850ADB"/>
    <w:rsid w:val="00850E71"/>
    <w:rsid w:val="00851FCF"/>
    <w:rsid w:val="00852890"/>
    <w:rsid w:val="00852D94"/>
    <w:rsid w:val="00852F80"/>
    <w:rsid w:val="00853ED9"/>
    <w:rsid w:val="00854DD4"/>
    <w:rsid w:val="00855D71"/>
    <w:rsid w:val="00857FBC"/>
    <w:rsid w:val="00860592"/>
    <w:rsid w:val="0086071C"/>
    <w:rsid w:val="00861967"/>
    <w:rsid w:val="0086267B"/>
    <w:rsid w:val="0086281E"/>
    <w:rsid w:val="008641CB"/>
    <w:rsid w:val="00864FAE"/>
    <w:rsid w:val="00866EFB"/>
    <w:rsid w:val="0086720D"/>
    <w:rsid w:val="008679C6"/>
    <w:rsid w:val="008707B9"/>
    <w:rsid w:val="008723E7"/>
    <w:rsid w:val="008724E3"/>
    <w:rsid w:val="008726E1"/>
    <w:rsid w:val="0087391D"/>
    <w:rsid w:val="008740C9"/>
    <w:rsid w:val="00874249"/>
    <w:rsid w:val="0087473D"/>
    <w:rsid w:val="00875558"/>
    <w:rsid w:val="00875FBB"/>
    <w:rsid w:val="00876099"/>
    <w:rsid w:val="008763CC"/>
    <w:rsid w:val="008767A8"/>
    <w:rsid w:val="008770EA"/>
    <w:rsid w:val="00877404"/>
    <w:rsid w:val="008801CF"/>
    <w:rsid w:val="00880D27"/>
    <w:rsid w:val="008812C4"/>
    <w:rsid w:val="008839FE"/>
    <w:rsid w:val="00884F56"/>
    <w:rsid w:val="00884FFD"/>
    <w:rsid w:val="008851D9"/>
    <w:rsid w:val="0088548D"/>
    <w:rsid w:val="008855A2"/>
    <w:rsid w:val="008856F1"/>
    <w:rsid w:val="00885831"/>
    <w:rsid w:val="00887F6F"/>
    <w:rsid w:val="00890B49"/>
    <w:rsid w:val="00890D42"/>
    <w:rsid w:val="00891071"/>
    <w:rsid w:val="00891B84"/>
    <w:rsid w:val="008922A5"/>
    <w:rsid w:val="008924EC"/>
    <w:rsid w:val="00892E36"/>
    <w:rsid w:val="00892EE3"/>
    <w:rsid w:val="00893A5C"/>
    <w:rsid w:val="00893F83"/>
    <w:rsid w:val="008940AD"/>
    <w:rsid w:val="008945BB"/>
    <w:rsid w:val="00895784"/>
    <w:rsid w:val="0089614E"/>
    <w:rsid w:val="00896346"/>
    <w:rsid w:val="00896CD9"/>
    <w:rsid w:val="00897062"/>
    <w:rsid w:val="0089791F"/>
    <w:rsid w:val="00897E3D"/>
    <w:rsid w:val="00897F6F"/>
    <w:rsid w:val="008A0630"/>
    <w:rsid w:val="008A1905"/>
    <w:rsid w:val="008A34D5"/>
    <w:rsid w:val="008A444D"/>
    <w:rsid w:val="008A4AB5"/>
    <w:rsid w:val="008A4D1F"/>
    <w:rsid w:val="008A596F"/>
    <w:rsid w:val="008A5F63"/>
    <w:rsid w:val="008A6231"/>
    <w:rsid w:val="008A6273"/>
    <w:rsid w:val="008A6715"/>
    <w:rsid w:val="008A6730"/>
    <w:rsid w:val="008A6CA4"/>
    <w:rsid w:val="008A7205"/>
    <w:rsid w:val="008A7623"/>
    <w:rsid w:val="008B0EE1"/>
    <w:rsid w:val="008B11AB"/>
    <w:rsid w:val="008B143C"/>
    <w:rsid w:val="008B298A"/>
    <w:rsid w:val="008B29CF"/>
    <w:rsid w:val="008B3538"/>
    <w:rsid w:val="008B44A3"/>
    <w:rsid w:val="008B4FCD"/>
    <w:rsid w:val="008B5E45"/>
    <w:rsid w:val="008B5F43"/>
    <w:rsid w:val="008B6750"/>
    <w:rsid w:val="008B71B3"/>
    <w:rsid w:val="008B74E6"/>
    <w:rsid w:val="008C0555"/>
    <w:rsid w:val="008C0EB2"/>
    <w:rsid w:val="008C3337"/>
    <w:rsid w:val="008C3E39"/>
    <w:rsid w:val="008C74F5"/>
    <w:rsid w:val="008C7D60"/>
    <w:rsid w:val="008D13F5"/>
    <w:rsid w:val="008D299E"/>
    <w:rsid w:val="008D29A2"/>
    <w:rsid w:val="008D37DE"/>
    <w:rsid w:val="008D6B87"/>
    <w:rsid w:val="008D6BDC"/>
    <w:rsid w:val="008E05C1"/>
    <w:rsid w:val="008E07C5"/>
    <w:rsid w:val="008E0D3D"/>
    <w:rsid w:val="008E1921"/>
    <w:rsid w:val="008E1955"/>
    <w:rsid w:val="008E20D4"/>
    <w:rsid w:val="008E220B"/>
    <w:rsid w:val="008E2B61"/>
    <w:rsid w:val="008E3489"/>
    <w:rsid w:val="008E3C23"/>
    <w:rsid w:val="008E3FAE"/>
    <w:rsid w:val="008E4FF0"/>
    <w:rsid w:val="008E64A3"/>
    <w:rsid w:val="008F11A7"/>
    <w:rsid w:val="008F11D6"/>
    <w:rsid w:val="008F1FB1"/>
    <w:rsid w:val="008F2E44"/>
    <w:rsid w:val="008F303E"/>
    <w:rsid w:val="008F310B"/>
    <w:rsid w:val="008F37FD"/>
    <w:rsid w:val="008F5DA0"/>
    <w:rsid w:val="008F7B76"/>
    <w:rsid w:val="0090055D"/>
    <w:rsid w:val="00901A8E"/>
    <w:rsid w:val="00901CAC"/>
    <w:rsid w:val="009034B4"/>
    <w:rsid w:val="00905669"/>
    <w:rsid w:val="009078E6"/>
    <w:rsid w:val="0091024C"/>
    <w:rsid w:val="00910864"/>
    <w:rsid w:val="009111B5"/>
    <w:rsid w:val="00911731"/>
    <w:rsid w:val="00911F9F"/>
    <w:rsid w:val="00911FF8"/>
    <w:rsid w:val="00912E2E"/>
    <w:rsid w:val="009131C7"/>
    <w:rsid w:val="00913E82"/>
    <w:rsid w:val="00914578"/>
    <w:rsid w:val="009146E9"/>
    <w:rsid w:val="0091790A"/>
    <w:rsid w:val="00917AE3"/>
    <w:rsid w:val="00917B6B"/>
    <w:rsid w:val="00920218"/>
    <w:rsid w:val="0092037E"/>
    <w:rsid w:val="00921397"/>
    <w:rsid w:val="00923108"/>
    <w:rsid w:val="00923608"/>
    <w:rsid w:val="0092462E"/>
    <w:rsid w:val="009246A3"/>
    <w:rsid w:val="00924F6F"/>
    <w:rsid w:val="00926834"/>
    <w:rsid w:val="00926CD5"/>
    <w:rsid w:val="00926DF2"/>
    <w:rsid w:val="009279F8"/>
    <w:rsid w:val="00927BD8"/>
    <w:rsid w:val="00930089"/>
    <w:rsid w:val="009305BC"/>
    <w:rsid w:val="009309E5"/>
    <w:rsid w:val="00930E91"/>
    <w:rsid w:val="009343C8"/>
    <w:rsid w:val="009346D8"/>
    <w:rsid w:val="00936057"/>
    <w:rsid w:val="00936346"/>
    <w:rsid w:val="00936676"/>
    <w:rsid w:val="009418A6"/>
    <w:rsid w:val="00941AF2"/>
    <w:rsid w:val="00941D7A"/>
    <w:rsid w:val="00942B81"/>
    <w:rsid w:val="0094349D"/>
    <w:rsid w:val="009443A9"/>
    <w:rsid w:val="009445E4"/>
    <w:rsid w:val="00944838"/>
    <w:rsid w:val="009456E6"/>
    <w:rsid w:val="00946269"/>
    <w:rsid w:val="009466F6"/>
    <w:rsid w:val="0094766C"/>
    <w:rsid w:val="00947D57"/>
    <w:rsid w:val="00950389"/>
    <w:rsid w:val="009508D9"/>
    <w:rsid w:val="009516D9"/>
    <w:rsid w:val="00952838"/>
    <w:rsid w:val="00953285"/>
    <w:rsid w:val="00953570"/>
    <w:rsid w:val="00953A02"/>
    <w:rsid w:val="00953D1C"/>
    <w:rsid w:val="00955B7D"/>
    <w:rsid w:val="00956FF7"/>
    <w:rsid w:val="009573FB"/>
    <w:rsid w:val="00957845"/>
    <w:rsid w:val="00960C79"/>
    <w:rsid w:val="00960EC3"/>
    <w:rsid w:val="00962F6F"/>
    <w:rsid w:val="0096341E"/>
    <w:rsid w:val="009639F9"/>
    <w:rsid w:val="00963E7A"/>
    <w:rsid w:val="0096545B"/>
    <w:rsid w:val="009660A9"/>
    <w:rsid w:val="00966AA6"/>
    <w:rsid w:val="00975277"/>
    <w:rsid w:val="009773F3"/>
    <w:rsid w:val="00980464"/>
    <w:rsid w:val="00980A37"/>
    <w:rsid w:val="00980B22"/>
    <w:rsid w:val="00981F82"/>
    <w:rsid w:val="00982634"/>
    <w:rsid w:val="0098282A"/>
    <w:rsid w:val="00982B19"/>
    <w:rsid w:val="00983AB7"/>
    <w:rsid w:val="00984358"/>
    <w:rsid w:val="00985E93"/>
    <w:rsid w:val="00986138"/>
    <w:rsid w:val="009867ED"/>
    <w:rsid w:val="00986B9C"/>
    <w:rsid w:val="00986C2A"/>
    <w:rsid w:val="009875B3"/>
    <w:rsid w:val="0098762D"/>
    <w:rsid w:val="00987F7D"/>
    <w:rsid w:val="00990C2D"/>
    <w:rsid w:val="009924E0"/>
    <w:rsid w:val="00992881"/>
    <w:rsid w:val="00992C11"/>
    <w:rsid w:val="00993BCC"/>
    <w:rsid w:val="00994B93"/>
    <w:rsid w:val="00995E52"/>
    <w:rsid w:val="00996017"/>
    <w:rsid w:val="0099620C"/>
    <w:rsid w:val="009974ED"/>
    <w:rsid w:val="0099754B"/>
    <w:rsid w:val="009A1CC3"/>
    <w:rsid w:val="009A1D0F"/>
    <w:rsid w:val="009A1F85"/>
    <w:rsid w:val="009A233C"/>
    <w:rsid w:val="009A3118"/>
    <w:rsid w:val="009A36CE"/>
    <w:rsid w:val="009A3701"/>
    <w:rsid w:val="009A4816"/>
    <w:rsid w:val="009A5773"/>
    <w:rsid w:val="009A649F"/>
    <w:rsid w:val="009A6DCB"/>
    <w:rsid w:val="009B017A"/>
    <w:rsid w:val="009B1260"/>
    <w:rsid w:val="009B2912"/>
    <w:rsid w:val="009B4C65"/>
    <w:rsid w:val="009B5B6B"/>
    <w:rsid w:val="009B5BAB"/>
    <w:rsid w:val="009B6048"/>
    <w:rsid w:val="009B61FD"/>
    <w:rsid w:val="009B675E"/>
    <w:rsid w:val="009B68E2"/>
    <w:rsid w:val="009B6DDF"/>
    <w:rsid w:val="009C19A2"/>
    <w:rsid w:val="009C1B3D"/>
    <w:rsid w:val="009C2E9D"/>
    <w:rsid w:val="009C3F3A"/>
    <w:rsid w:val="009C46F4"/>
    <w:rsid w:val="009C48F9"/>
    <w:rsid w:val="009C4B7B"/>
    <w:rsid w:val="009C51E1"/>
    <w:rsid w:val="009C5F30"/>
    <w:rsid w:val="009C5FD9"/>
    <w:rsid w:val="009C66B9"/>
    <w:rsid w:val="009C6CDE"/>
    <w:rsid w:val="009C7244"/>
    <w:rsid w:val="009C7333"/>
    <w:rsid w:val="009C7ABB"/>
    <w:rsid w:val="009D19E1"/>
    <w:rsid w:val="009D2E02"/>
    <w:rsid w:val="009D3762"/>
    <w:rsid w:val="009D3D27"/>
    <w:rsid w:val="009D519D"/>
    <w:rsid w:val="009D5BF5"/>
    <w:rsid w:val="009D67E3"/>
    <w:rsid w:val="009D732B"/>
    <w:rsid w:val="009D7623"/>
    <w:rsid w:val="009D76FB"/>
    <w:rsid w:val="009D7ACC"/>
    <w:rsid w:val="009E0032"/>
    <w:rsid w:val="009E011B"/>
    <w:rsid w:val="009E0C6F"/>
    <w:rsid w:val="009E15E3"/>
    <w:rsid w:val="009E1A80"/>
    <w:rsid w:val="009E3DCC"/>
    <w:rsid w:val="009E4190"/>
    <w:rsid w:val="009E45BE"/>
    <w:rsid w:val="009E4C36"/>
    <w:rsid w:val="009E4FD1"/>
    <w:rsid w:val="009E5824"/>
    <w:rsid w:val="009E6C49"/>
    <w:rsid w:val="009E6C7A"/>
    <w:rsid w:val="009F0C47"/>
    <w:rsid w:val="009F0DB8"/>
    <w:rsid w:val="009F1D14"/>
    <w:rsid w:val="009F2E60"/>
    <w:rsid w:val="009F34E9"/>
    <w:rsid w:val="009F44B0"/>
    <w:rsid w:val="00A00644"/>
    <w:rsid w:val="00A00691"/>
    <w:rsid w:val="00A006D2"/>
    <w:rsid w:val="00A00B1D"/>
    <w:rsid w:val="00A05283"/>
    <w:rsid w:val="00A06599"/>
    <w:rsid w:val="00A069FE"/>
    <w:rsid w:val="00A1028B"/>
    <w:rsid w:val="00A11211"/>
    <w:rsid w:val="00A117AF"/>
    <w:rsid w:val="00A118F7"/>
    <w:rsid w:val="00A1285A"/>
    <w:rsid w:val="00A131C5"/>
    <w:rsid w:val="00A163E0"/>
    <w:rsid w:val="00A177C5"/>
    <w:rsid w:val="00A17BF2"/>
    <w:rsid w:val="00A21D58"/>
    <w:rsid w:val="00A22959"/>
    <w:rsid w:val="00A2376C"/>
    <w:rsid w:val="00A23DF3"/>
    <w:rsid w:val="00A24B69"/>
    <w:rsid w:val="00A26564"/>
    <w:rsid w:val="00A26A22"/>
    <w:rsid w:val="00A26F51"/>
    <w:rsid w:val="00A27244"/>
    <w:rsid w:val="00A27B13"/>
    <w:rsid w:val="00A27C67"/>
    <w:rsid w:val="00A301D0"/>
    <w:rsid w:val="00A304EF"/>
    <w:rsid w:val="00A31325"/>
    <w:rsid w:val="00A315B7"/>
    <w:rsid w:val="00A31AAB"/>
    <w:rsid w:val="00A31ACC"/>
    <w:rsid w:val="00A31BC6"/>
    <w:rsid w:val="00A330A9"/>
    <w:rsid w:val="00A34066"/>
    <w:rsid w:val="00A348B0"/>
    <w:rsid w:val="00A34DD1"/>
    <w:rsid w:val="00A35D02"/>
    <w:rsid w:val="00A35FF5"/>
    <w:rsid w:val="00A36AC4"/>
    <w:rsid w:val="00A36AC7"/>
    <w:rsid w:val="00A372A1"/>
    <w:rsid w:val="00A377FF"/>
    <w:rsid w:val="00A37DF9"/>
    <w:rsid w:val="00A401CD"/>
    <w:rsid w:val="00A43355"/>
    <w:rsid w:val="00A438BE"/>
    <w:rsid w:val="00A4416E"/>
    <w:rsid w:val="00A4425E"/>
    <w:rsid w:val="00A44B71"/>
    <w:rsid w:val="00A44BD3"/>
    <w:rsid w:val="00A46846"/>
    <w:rsid w:val="00A46EF9"/>
    <w:rsid w:val="00A4790D"/>
    <w:rsid w:val="00A50CF6"/>
    <w:rsid w:val="00A50D3A"/>
    <w:rsid w:val="00A51219"/>
    <w:rsid w:val="00A51330"/>
    <w:rsid w:val="00A52A85"/>
    <w:rsid w:val="00A53DFB"/>
    <w:rsid w:val="00A546A2"/>
    <w:rsid w:val="00A548DA"/>
    <w:rsid w:val="00A54AD6"/>
    <w:rsid w:val="00A569CE"/>
    <w:rsid w:val="00A600F7"/>
    <w:rsid w:val="00A61645"/>
    <w:rsid w:val="00A6240B"/>
    <w:rsid w:val="00A62E1C"/>
    <w:rsid w:val="00A651B0"/>
    <w:rsid w:val="00A66FDE"/>
    <w:rsid w:val="00A674E8"/>
    <w:rsid w:val="00A67531"/>
    <w:rsid w:val="00A67A37"/>
    <w:rsid w:val="00A67AC3"/>
    <w:rsid w:val="00A67C95"/>
    <w:rsid w:val="00A7082E"/>
    <w:rsid w:val="00A727A2"/>
    <w:rsid w:val="00A72F9D"/>
    <w:rsid w:val="00A736B2"/>
    <w:rsid w:val="00A73CAC"/>
    <w:rsid w:val="00A7540A"/>
    <w:rsid w:val="00A75DCB"/>
    <w:rsid w:val="00A761F3"/>
    <w:rsid w:val="00A76959"/>
    <w:rsid w:val="00A77B0C"/>
    <w:rsid w:val="00A80F0E"/>
    <w:rsid w:val="00A811DD"/>
    <w:rsid w:val="00A856F1"/>
    <w:rsid w:val="00A85CC2"/>
    <w:rsid w:val="00A86608"/>
    <w:rsid w:val="00A86663"/>
    <w:rsid w:val="00A872D8"/>
    <w:rsid w:val="00A87B35"/>
    <w:rsid w:val="00A87C1B"/>
    <w:rsid w:val="00A90178"/>
    <w:rsid w:val="00A915BA"/>
    <w:rsid w:val="00A91C22"/>
    <w:rsid w:val="00A91DF7"/>
    <w:rsid w:val="00A92E97"/>
    <w:rsid w:val="00A93358"/>
    <w:rsid w:val="00A933D0"/>
    <w:rsid w:val="00A9356C"/>
    <w:rsid w:val="00A93798"/>
    <w:rsid w:val="00A938A6"/>
    <w:rsid w:val="00A93971"/>
    <w:rsid w:val="00A95084"/>
    <w:rsid w:val="00A960EE"/>
    <w:rsid w:val="00A96D6D"/>
    <w:rsid w:val="00A96DB4"/>
    <w:rsid w:val="00AA15E7"/>
    <w:rsid w:val="00AA219E"/>
    <w:rsid w:val="00AA407D"/>
    <w:rsid w:val="00AA42E7"/>
    <w:rsid w:val="00AA47AF"/>
    <w:rsid w:val="00AA542A"/>
    <w:rsid w:val="00AA5E8C"/>
    <w:rsid w:val="00AA5FE5"/>
    <w:rsid w:val="00AA62E2"/>
    <w:rsid w:val="00AA65E3"/>
    <w:rsid w:val="00AA6A3C"/>
    <w:rsid w:val="00AA796E"/>
    <w:rsid w:val="00AA7B68"/>
    <w:rsid w:val="00AA7EA2"/>
    <w:rsid w:val="00AB08AC"/>
    <w:rsid w:val="00AB1566"/>
    <w:rsid w:val="00AB1E8E"/>
    <w:rsid w:val="00AB2E8F"/>
    <w:rsid w:val="00AB4E09"/>
    <w:rsid w:val="00AB547D"/>
    <w:rsid w:val="00AB588A"/>
    <w:rsid w:val="00AB5B0B"/>
    <w:rsid w:val="00AB65B2"/>
    <w:rsid w:val="00AC0D80"/>
    <w:rsid w:val="00AC12D5"/>
    <w:rsid w:val="00AC2904"/>
    <w:rsid w:val="00AC39B9"/>
    <w:rsid w:val="00AC3B5D"/>
    <w:rsid w:val="00AC4BB7"/>
    <w:rsid w:val="00AC523D"/>
    <w:rsid w:val="00AC6621"/>
    <w:rsid w:val="00AC68D4"/>
    <w:rsid w:val="00AC7128"/>
    <w:rsid w:val="00AC7BCA"/>
    <w:rsid w:val="00AD066D"/>
    <w:rsid w:val="00AD0F43"/>
    <w:rsid w:val="00AD18D5"/>
    <w:rsid w:val="00AD2845"/>
    <w:rsid w:val="00AD354F"/>
    <w:rsid w:val="00AD382F"/>
    <w:rsid w:val="00AD3ADE"/>
    <w:rsid w:val="00AD424F"/>
    <w:rsid w:val="00AD42F2"/>
    <w:rsid w:val="00AD4EAE"/>
    <w:rsid w:val="00AD5576"/>
    <w:rsid w:val="00AD5D88"/>
    <w:rsid w:val="00AD6EB7"/>
    <w:rsid w:val="00AE10ED"/>
    <w:rsid w:val="00AE1B82"/>
    <w:rsid w:val="00AE1D14"/>
    <w:rsid w:val="00AE2613"/>
    <w:rsid w:val="00AE2866"/>
    <w:rsid w:val="00AE387A"/>
    <w:rsid w:val="00AE4C40"/>
    <w:rsid w:val="00AE4FD3"/>
    <w:rsid w:val="00AE5AEA"/>
    <w:rsid w:val="00AE6A38"/>
    <w:rsid w:val="00AE7AA0"/>
    <w:rsid w:val="00AE7D90"/>
    <w:rsid w:val="00AF07D4"/>
    <w:rsid w:val="00AF0DF1"/>
    <w:rsid w:val="00AF1245"/>
    <w:rsid w:val="00AF14DC"/>
    <w:rsid w:val="00AF1C87"/>
    <w:rsid w:val="00AF1E4C"/>
    <w:rsid w:val="00AF1EF3"/>
    <w:rsid w:val="00AF3066"/>
    <w:rsid w:val="00AF41B3"/>
    <w:rsid w:val="00AF59E3"/>
    <w:rsid w:val="00B0080D"/>
    <w:rsid w:val="00B03562"/>
    <w:rsid w:val="00B0370E"/>
    <w:rsid w:val="00B037C4"/>
    <w:rsid w:val="00B05697"/>
    <w:rsid w:val="00B06938"/>
    <w:rsid w:val="00B0709C"/>
    <w:rsid w:val="00B0790A"/>
    <w:rsid w:val="00B07FDD"/>
    <w:rsid w:val="00B11462"/>
    <w:rsid w:val="00B11DC0"/>
    <w:rsid w:val="00B11FCA"/>
    <w:rsid w:val="00B12076"/>
    <w:rsid w:val="00B12FF1"/>
    <w:rsid w:val="00B14F40"/>
    <w:rsid w:val="00B15225"/>
    <w:rsid w:val="00B15D4A"/>
    <w:rsid w:val="00B1719B"/>
    <w:rsid w:val="00B1728D"/>
    <w:rsid w:val="00B20436"/>
    <w:rsid w:val="00B20608"/>
    <w:rsid w:val="00B235B4"/>
    <w:rsid w:val="00B23939"/>
    <w:rsid w:val="00B2466D"/>
    <w:rsid w:val="00B24BFC"/>
    <w:rsid w:val="00B25D7C"/>
    <w:rsid w:val="00B265E1"/>
    <w:rsid w:val="00B27955"/>
    <w:rsid w:val="00B32123"/>
    <w:rsid w:val="00B3231E"/>
    <w:rsid w:val="00B325A4"/>
    <w:rsid w:val="00B3333F"/>
    <w:rsid w:val="00B34127"/>
    <w:rsid w:val="00B344F8"/>
    <w:rsid w:val="00B34A4B"/>
    <w:rsid w:val="00B34C2E"/>
    <w:rsid w:val="00B40331"/>
    <w:rsid w:val="00B409B5"/>
    <w:rsid w:val="00B41D11"/>
    <w:rsid w:val="00B42AD5"/>
    <w:rsid w:val="00B43655"/>
    <w:rsid w:val="00B4391B"/>
    <w:rsid w:val="00B4422B"/>
    <w:rsid w:val="00B4657A"/>
    <w:rsid w:val="00B46A43"/>
    <w:rsid w:val="00B47BFB"/>
    <w:rsid w:val="00B504CA"/>
    <w:rsid w:val="00B5091E"/>
    <w:rsid w:val="00B5358B"/>
    <w:rsid w:val="00B54F33"/>
    <w:rsid w:val="00B54FA3"/>
    <w:rsid w:val="00B55389"/>
    <w:rsid w:val="00B55E5E"/>
    <w:rsid w:val="00B561D7"/>
    <w:rsid w:val="00B56709"/>
    <w:rsid w:val="00B56B03"/>
    <w:rsid w:val="00B60373"/>
    <w:rsid w:val="00B603B9"/>
    <w:rsid w:val="00B60EDC"/>
    <w:rsid w:val="00B618E9"/>
    <w:rsid w:val="00B62A42"/>
    <w:rsid w:val="00B63169"/>
    <w:rsid w:val="00B636A2"/>
    <w:rsid w:val="00B64A93"/>
    <w:rsid w:val="00B64E2C"/>
    <w:rsid w:val="00B65554"/>
    <w:rsid w:val="00B6630A"/>
    <w:rsid w:val="00B667CC"/>
    <w:rsid w:val="00B669CB"/>
    <w:rsid w:val="00B7009D"/>
    <w:rsid w:val="00B71186"/>
    <w:rsid w:val="00B71459"/>
    <w:rsid w:val="00B715D7"/>
    <w:rsid w:val="00B72FA0"/>
    <w:rsid w:val="00B73F9B"/>
    <w:rsid w:val="00B7450F"/>
    <w:rsid w:val="00B74649"/>
    <w:rsid w:val="00B755C4"/>
    <w:rsid w:val="00B76341"/>
    <w:rsid w:val="00B763E8"/>
    <w:rsid w:val="00B768E1"/>
    <w:rsid w:val="00B80A9C"/>
    <w:rsid w:val="00B81991"/>
    <w:rsid w:val="00B82FEF"/>
    <w:rsid w:val="00B83108"/>
    <w:rsid w:val="00B84420"/>
    <w:rsid w:val="00B84D65"/>
    <w:rsid w:val="00B85438"/>
    <w:rsid w:val="00B85D0E"/>
    <w:rsid w:val="00B86E87"/>
    <w:rsid w:val="00B902C9"/>
    <w:rsid w:val="00B91A8E"/>
    <w:rsid w:val="00B91B42"/>
    <w:rsid w:val="00B91EA0"/>
    <w:rsid w:val="00B94844"/>
    <w:rsid w:val="00B948A8"/>
    <w:rsid w:val="00B94CC4"/>
    <w:rsid w:val="00B9580D"/>
    <w:rsid w:val="00B960FD"/>
    <w:rsid w:val="00B962E9"/>
    <w:rsid w:val="00B969E4"/>
    <w:rsid w:val="00B96AA6"/>
    <w:rsid w:val="00B96FBC"/>
    <w:rsid w:val="00B977B7"/>
    <w:rsid w:val="00B9788F"/>
    <w:rsid w:val="00BA0877"/>
    <w:rsid w:val="00BA0D35"/>
    <w:rsid w:val="00BA0D7A"/>
    <w:rsid w:val="00BA0D94"/>
    <w:rsid w:val="00BA191D"/>
    <w:rsid w:val="00BA2D40"/>
    <w:rsid w:val="00BA31FC"/>
    <w:rsid w:val="00BA3FEB"/>
    <w:rsid w:val="00BA5412"/>
    <w:rsid w:val="00BA5592"/>
    <w:rsid w:val="00BA5614"/>
    <w:rsid w:val="00BA56A9"/>
    <w:rsid w:val="00BA712D"/>
    <w:rsid w:val="00BA74C6"/>
    <w:rsid w:val="00BA77ED"/>
    <w:rsid w:val="00BA7BDD"/>
    <w:rsid w:val="00BB083A"/>
    <w:rsid w:val="00BB0ED1"/>
    <w:rsid w:val="00BB1C67"/>
    <w:rsid w:val="00BB2061"/>
    <w:rsid w:val="00BB29E7"/>
    <w:rsid w:val="00BB3B0B"/>
    <w:rsid w:val="00BB3EA6"/>
    <w:rsid w:val="00BB44A6"/>
    <w:rsid w:val="00BB4589"/>
    <w:rsid w:val="00BB4F88"/>
    <w:rsid w:val="00BB5345"/>
    <w:rsid w:val="00BB7783"/>
    <w:rsid w:val="00BB7975"/>
    <w:rsid w:val="00BC05F5"/>
    <w:rsid w:val="00BC0873"/>
    <w:rsid w:val="00BC09D4"/>
    <w:rsid w:val="00BC1C38"/>
    <w:rsid w:val="00BC1DB6"/>
    <w:rsid w:val="00BC4071"/>
    <w:rsid w:val="00BC4983"/>
    <w:rsid w:val="00BC50A5"/>
    <w:rsid w:val="00BC59CC"/>
    <w:rsid w:val="00BC64D4"/>
    <w:rsid w:val="00BD405E"/>
    <w:rsid w:val="00BD4217"/>
    <w:rsid w:val="00BD6310"/>
    <w:rsid w:val="00BE0167"/>
    <w:rsid w:val="00BE0D2A"/>
    <w:rsid w:val="00BE1BCF"/>
    <w:rsid w:val="00BE2AC6"/>
    <w:rsid w:val="00BE2F4B"/>
    <w:rsid w:val="00BE2FE6"/>
    <w:rsid w:val="00BE3077"/>
    <w:rsid w:val="00BE380F"/>
    <w:rsid w:val="00BE3A8E"/>
    <w:rsid w:val="00BE3B8A"/>
    <w:rsid w:val="00BE5702"/>
    <w:rsid w:val="00BE6B51"/>
    <w:rsid w:val="00BE734B"/>
    <w:rsid w:val="00BE7D6F"/>
    <w:rsid w:val="00BF00A7"/>
    <w:rsid w:val="00BF12DD"/>
    <w:rsid w:val="00BF1878"/>
    <w:rsid w:val="00BF1C95"/>
    <w:rsid w:val="00BF1DF7"/>
    <w:rsid w:val="00BF279C"/>
    <w:rsid w:val="00BF2E13"/>
    <w:rsid w:val="00BF36EC"/>
    <w:rsid w:val="00BF3988"/>
    <w:rsid w:val="00BF49D3"/>
    <w:rsid w:val="00BF4A91"/>
    <w:rsid w:val="00BF66C3"/>
    <w:rsid w:val="00BF6CEE"/>
    <w:rsid w:val="00BF776F"/>
    <w:rsid w:val="00C00F2F"/>
    <w:rsid w:val="00C019F5"/>
    <w:rsid w:val="00C02160"/>
    <w:rsid w:val="00C02DB3"/>
    <w:rsid w:val="00C05DE2"/>
    <w:rsid w:val="00C061F3"/>
    <w:rsid w:val="00C076A8"/>
    <w:rsid w:val="00C076AA"/>
    <w:rsid w:val="00C07F3C"/>
    <w:rsid w:val="00C10101"/>
    <w:rsid w:val="00C10915"/>
    <w:rsid w:val="00C10D72"/>
    <w:rsid w:val="00C11175"/>
    <w:rsid w:val="00C117E9"/>
    <w:rsid w:val="00C120CA"/>
    <w:rsid w:val="00C12AED"/>
    <w:rsid w:val="00C12B73"/>
    <w:rsid w:val="00C130D3"/>
    <w:rsid w:val="00C13E43"/>
    <w:rsid w:val="00C14171"/>
    <w:rsid w:val="00C1477C"/>
    <w:rsid w:val="00C15184"/>
    <w:rsid w:val="00C166DB"/>
    <w:rsid w:val="00C1678B"/>
    <w:rsid w:val="00C167D4"/>
    <w:rsid w:val="00C16AAF"/>
    <w:rsid w:val="00C16B70"/>
    <w:rsid w:val="00C17BE0"/>
    <w:rsid w:val="00C17ECE"/>
    <w:rsid w:val="00C20114"/>
    <w:rsid w:val="00C201A1"/>
    <w:rsid w:val="00C20210"/>
    <w:rsid w:val="00C21920"/>
    <w:rsid w:val="00C21D24"/>
    <w:rsid w:val="00C22306"/>
    <w:rsid w:val="00C227A9"/>
    <w:rsid w:val="00C23B34"/>
    <w:rsid w:val="00C24689"/>
    <w:rsid w:val="00C252CE"/>
    <w:rsid w:val="00C27676"/>
    <w:rsid w:val="00C27766"/>
    <w:rsid w:val="00C27A5C"/>
    <w:rsid w:val="00C27EA1"/>
    <w:rsid w:val="00C3132B"/>
    <w:rsid w:val="00C3177E"/>
    <w:rsid w:val="00C3264E"/>
    <w:rsid w:val="00C329EF"/>
    <w:rsid w:val="00C33585"/>
    <w:rsid w:val="00C358CD"/>
    <w:rsid w:val="00C35D61"/>
    <w:rsid w:val="00C35E63"/>
    <w:rsid w:val="00C35E9B"/>
    <w:rsid w:val="00C4029F"/>
    <w:rsid w:val="00C40FE1"/>
    <w:rsid w:val="00C41535"/>
    <w:rsid w:val="00C41693"/>
    <w:rsid w:val="00C416AD"/>
    <w:rsid w:val="00C421E3"/>
    <w:rsid w:val="00C424EC"/>
    <w:rsid w:val="00C429A9"/>
    <w:rsid w:val="00C43703"/>
    <w:rsid w:val="00C44215"/>
    <w:rsid w:val="00C44A6E"/>
    <w:rsid w:val="00C45144"/>
    <w:rsid w:val="00C45953"/>
    <w:rsid w:val="00C46DC5"/>
    <w:rsid w:val="00C47383"/>
    <w:rsid w:val="00C509B6"/>
    <w:rsid w:val="00C5112A"/>
    <w:rsid w:val="00C51F13"/>
    <w:rsid w:val="00C524AE"/>
    <w:rsid w:val="00C53007"/>
    <w:rsid w:val="00C532D5"/>
    <w:rsid w:val="00C5513E"/>
    <w:rsid w:val="00C55344"/>
    <w:rsid w:val="00C5575C"/>
    <w:rsid w:val="00C55D10"/>
    <w:rsid w:val="00C56730"/>
    <w:rsid w:val="00C56DFA"/>
    <w:rsid w:val="00C571BF"/>
    <w:rsid w:val="00C573F1"/>
    <w:rsid w:val="00C60501"/>
    <w:rsid w:val="00C60D2E"/>
    <w:rsid w:val="00C61B60"/>
    <w:rsid w:val="00C641DD"/>
    <w:rsid w:val="00C6471A"/>
    <w:rsid w:val="00C651A3"/>
    <w:rsid w:val="00C65254"/>
    <w:rsid w:val="00C65506"/>
    <w:rsid w:val="00C6626A"/>
    <w:rsid w:val="00C675E2"/>
    <w:rsid w:val="00C67DD2"/>
    <w:rsid w:val="00C71003"/>
    <w:rsid w:val="00C73695"/>
    <w:rsid w:val="00C745DC"/>
    <w:rsid w:val="00C74CF4"/>
    <w:rsid w:val="00C75292"/>
    <w:rsid w:val="00C76C9F"/>
    <w:rsid w:val="00C76DDE"/>
    <w:rsid w:val="00C76F2D"/>
    <w:rsid w:val="00C77B25"/>
    <w:rsid w:val="00C77E57"/>
    <w:rsid w:val="00C80F18"/>
    <w:rsid w:val="00C828EF"/>
    <w:rsid w:val="00C82B65"/>
    <w:rsid w:val="00C85FC7"/>
    <w:rsid w:val="00C8630A"/>
    <w:rsid w:val="00C863EC"/>
    <w:rsid w:val="00C86AEB"/>
    <w:rsid w:val="00C87F89"/>
    <w:rsid w:val="00C90735"/>
    <w:rsid w:val="00C919DA"/>
    <w:rsid w:val="00C919E5"/>
    <w:rsid w:val="00C91A06"/>
    <w:rsid w:val="00C92AC5"/>
    <w:rsid w:val="00C93097"/>
    <w:rsid w:val="00C942D0"/>
    <w:rsid w:val="00C95144"/>
    <w:rsid w:val="00C954E3"/>
    <w:rsid w:val="00C957EC"/>
    <w:rsid w:val="00C95858"/>
    <w:rsid w:val="00C962B3"/>
    <w:rsid w:val="00C96F8F"/>
    <w:rsid w:val="00C97133"/>
    <w:rsid w:val="00C971AD"/>
    <w:rsid w:val="00C97573"/>
    <w:rsid w:val="00C9758C"/>
    <w:rsid w:val="00C979F2"/>
    <w:rsid w:val="00CA0995"/>
    <w:rsid w:val="00CA1398"/>
    <w:rsid w:val="00CA23E3"/>
    <w:rsid w:val="00CA2983"/>
    <w:rsid w:val="00CA2F44"/>
    <w:rsid w:val="00CA314F"/>
    <w:rsid w:val="00CA319E"/>
    <w:rsid w:val="00CA4F04"/>
    <w:rsid w:val="00CA4FDC"/>
    <w:rsid w:val="00CA5F28"/>
    <w:rsid w:val="00CA74DA"/>
    <w:rsid w:val="00CA7FB6"/>
    <w:rsid w:val="00CB0BE5"/>
    <w:rsid w:val="00CB1021"/>
    <w:rsid w:val="00CB12B4"/>
    <w:rsid w:val="00CB15C2"/>
    <w:rsid w:val="00CB1A2D"/>
    <w:rsid w:val="00CB1D0F"/>
    <w:rsid w:val="00CB3154"/>
    <w:rsid w:val="00CB3CED"/>
    <w:rsid w:val="00CB4D2B"/>
    <w:rsid w:val="00CB4F07"/>
    <w:rsid w:val="00CB5200"/>
    <w:rsid w:val="00CB557E"/>
    <w:rsid w:val="00CB5A33"/>
    <w:rsid w:val="00CB6D57"/>
    <w:rsid w:val="00CB7B07"/>
    <w:rsid w:val="00CC04F4"/>
    <w:rsid w:val="00CC1409"/>
    <w:rsid w:val="00CC171B"/>
    <w:rsid w:val="00CC20E2"/>
    <w:rsid w:val="00CC27B9"/>
    <w:rsid w:val="00CC4194"/>
    <w:rsid w:val="00CC7CEB"/>
    <w:rsid w:val="00CD01EC"/>
    <w:rsid w:val="00CD0240"/>
    <w:rsid w:val="00CD0F3A"/>
    <w:rsid w:val="00CD2414"/>
    <w:rsid w:val="00CD2AF0"/>
    <w:rsid w:val="00CD6BEF"/>
    <w:rsid w:val="00CD70A2"/>
    <w:rsid w:val="00CD73E8"/>
    <w:rsid w:val="00CE0E1B"/>
    <w:rsid w:val="00CE1A16"/>
    <w:rsid w:val="00CE1B37"/>
    <w:rsid w:val="00CE1D84"/>
    <w:rsid w:val="00CE71BD"/>
    <w:rsid w:val="00CF03C0"/>
    <w:rsid w:val="00CF055C"/>
    <w:rsid w:val="00CF1A64"/>
    <w:rsid w:val="00CF202B"/>
    <w:rsid w:val="00CF2E6E"/>
    <w:rsid w:val="00CF3432"/>
    <w:rsid w:val="00CF55BF"/>
    <w:rsid w:val="00CF62F7"/>
    <w:rsid w:val="00CF6C33"/>
    <w:rsid w:val="00D019F7"/>
    <w:rsid w:val="00D02794"/>
    <w:rsid w:val="00D03322"/>
    <w:rsid w:val="00D03F12"/>
    <w:rsid w:val="00D04CB0"/>
    <w:rsid w:val="00D04D82"/>
    <w:rsid w:val="00D05AF7"/>
    <w:rsid w:val="00D05C65"/>
    <w:rsid w:val="00D06397"/>
    <w:rsid w:val="00D1119F"/>
    <w:rsid w:val="00D125A6"/>
    <w:rsid w:val="00D125CA"/>
    <w:rsid w:val="00D1270F"/>
    <w:rsid w:val="00D14702"/>
    <w:rsid w:val="00D157E3"/>
    <w:rsid w:val="00D15D75"/>
    <w:rsid w:val="00D15F68"/>
    <w:rsid w:val="00D16AEE"/>
    <w:rsid w:val="00D16E0D"/>
    <w:rsid w:val="00D17A03"/>
    <w:rsid w:val="00D20A8E"/>
    <w:rsid w:val="00D20F1B"/>
    <w:rsid w:val="00D21667"/>
    <w:rsid w:val="00D217A6"/>
    <w:rsid w:val="00D21ADE"/>
    <w:rsid w:val="00D23695"/>
    <w:rsid w:val="00D24965"/>
    <w:rsid w:val="00D24F8D"/>
    <w:rsid w:val="00D253D6"/>
    <w:rsid w:val="00D255C3"/>
    <w:rsid w:val="00D256E9"/>
    <w:rsid w:val="00D25A85"/>
    <w:rsid w:val="00D25BA3"/>
    <w:rsid w:val="00D269BA"/>
    <w:rsid w:val="00D277DB"/>
    <w:rsid w:val="00D30096"/>
    <w:rsid w:val="00D30131"/>
    <w:rsid w:val="00D312CC"/>
    <w:rsid w:val="00D31AEC"/>
    <w:rsid w:val="00D32469"/>
    <w:rsid w:val="00D3284E"/>
    <w:rsid w:val="00D32AE5"/>
    <w:rsid w:val="00D33872"/>
    <w:rsid w:val="00D3635E"/>
    <w:rsid w:val="00D41D12"/>
    <w:rsid w:val="00D422CD"/>
    <w:rsid w:val="00D42353"/>
    <w:rsid w:val="00D433D0"/>
    <w:rsid w:val="00D43870"/>
    <w:rsid w:val="00D43C81"/>
    <w:rsid w:val="00D4459C"/>
    <w:rsid w:val="00D44839"/>
    <w:rsid w:val="00D44A5A"/>
    <w:rsid w:val="00D44F2F"/>
    <w:rsid w:val="00D44F5F"/>
    <w:rsid w:val="00D466C7"/>
    <w:rsid w:val="00D46A43"/>
    <w:rsid w:val="00D47D07"/>
    <w:rsid w:val="00D5127A"/>
    <w:rsid w:val="00D53BF8"/>
    <w:rsid w:val="00D54624"/>
    <w:rsid w:val="00D54D6E"/>
    <w:rsid w:val="00D553EA"/>
    <w:rsid w:val="00D55CC8"/>
    <w:rsid w:val="00D56E2D"/>
    <w:rsid w:val="00D5741F"/>
    <w:rsid w:val="00D62220"/>
    <w:rsid w:val="00D63C22"/>
    <w:rsid w:val="00D63DBF"/>
    <w:rsid w:val="00D64BD2"/>
    <w:rsid w:val="00D65D95"/>
    <w:rsid w:val="00D662A9"/>
    <w:rsid w:val="00D7047A"/>
    <w:rsid w:val="00D717F4"/>
    <w:rsid w:val="00D71B1A"/>
    <w:rsid w:val="00D729F2"/>
    <w:rsid w:val="00D73468"/>
    <w:rsid w:val="00D74061"/>
    <w:rsid w:val="00D74D1C"/>
    <w:rsid w:val="00D75400"/>
    <w:rsid w:val="00D764C3"/>
    <w:rsid w:val="00D77E79"/>
    <w:rsid w:val="00D8015E"/>
    <w:rsid w:val="00D802DF"/>
    <w:rsid w:val="00D80B20"/>
    <w:rsid w:val="00D80C23"/>
    <w:rsid w:val="00D8210B"/>
    <w:rsid w:val="00D8310D"/>
    <w:rsid w:val="00D8330B"/>
    <w:rsid w:val="00D84212"/>
    <w:rsid w:val="00D84CC6"/>
    <w:rsid w:val="00D851C4"/>
    <w:rsid w:val="00D87934"/>
    <w:rsid w:val="00D87BF4"/>
    <w:rsid w:val="00D902B3"/>
    <w:rsid w:val="00D90896"/>
    <w:rsid w:val="00D90B30"/>
    <w:rsid w:val="00D90CCB"/>
    <w:rsid w:val="00D91F19"/>
    <w:rsid w:val="00D91F8E"/>
    <w:rsid w:val="00D91FE4"/>
    <w:rsid w:val="00D928DE"/>
    <w:rsid w:val="00D92F28"/>
    <w:rsid w:val="00D93BA3"/>
    <w:rsid w:val="00D942AE"/>
    <w:rsid w:val="00D943F7"/>
    <w:rsid w:val="00D949B8"/>
    <w:rsid w:val="00D94B84"/>
    <w:rsid w:val="00D94F03"/>
    <w:rsid w:val="00D95B26"/>
    <w:rsid w:val="00DA0D5A"/>
    <w:rsid w:val="00DA34FA"/>
    <w:rsid w:val="00DA4EBE"/>
    <w:rsid w:val="00DA4FA9"/>
    <w:rsid w:val="00DA6CFF"/>
    <w:rsid w:val="00DB0B12"/>
    <w:rsid w:val="00DB0CBC"/>
    <w:rsid w:val="00DB0EA0"/>
    <w:rsid w:val="00DB128B"/>
    <w:rsid w:val="00DB2089"/>
    <w:rsid w:val="00DB2B0A"/>
    <w:rsid w:val="00DB335C"/>
    <w:rsid w:val="00DB3BE1"/>
    <w:rsid w:val="00DB3D22"/>
    <w:rsid w:val="00DB4114"/>
    <w:rsid w:val="00DB5463"/>
    <w:rsid w:val="00DB565D"/>
    <w:rsid w:val="00DB56C2"/>
    <w:rsid w:val="00DB7FC3"/>
    <w:rsid w:val="00DC089A"/>
    <w:rsid w:val="00DC0FDB"/>
    <w:rsid w:val="00DC137F"/>
    <w:rsid w:val="00DC27C1"/>
    <w:rsid w:val="00DC35CD"/>
    <w:rsid w:val="00DC3A2F"/>
    <w:rsid w:val="00DC47CD"/>
    <w:rsid w:val="00DC538C"/>
    <w:rsid w:val="00DD02CF"/>
    <w:rsid w:val="00DD09E1"/>
    <w:rsid w:val="00DD10E2"/>
    <w:rsid w:val="00DD1C5C"/>
    <w:rsid w:val="00DD30EE"/>
    <w:rsid w:val="00DD3AA0"/>
    <w:rsid w:val="00DD42F1"/>
    <w:rsid w:val="00DD68F5"/>
    <w:rsid w:val="00DD6F45"/>
    <w:rsid w:val="00DD79C4"/>
    <w:rsid w:val="00DD7DAD"/>
    <w:rsid w:val="00DE10C9"/>
    <w:rsid w:val="00DE2104"/>
    <w:rsid w:val="00DE224D"/>
    <w:rsid w:val="00DE22EE"/>
    <w:rsid w:val="00DE6F3A"/>
    <w:rsid w:val="00DE7314"/>
    <w:rsid w:val="00DE75DF"/>
    <w:rsid w:val="00DE7A8B"/>
    <w:rsid w:val="00DF000F"/>
    <w:rsid w:val="00DF20BE"/>
    <w:rsid w:val="00DF487A"/>
    <w:rsid w:val="00DF561E"/>
    <w:rsid w:val="00DF5740"/>
    <w:rsid w:val="00DF60D6"/>
    <w:rsid w:val="00DF65A2"/>
    <w:rsid w:val="00DF699E"/>
    <w:rsid w:val="00DF6C55"/>
    <w:rsid w:val="00DF6E00"/>
    <w:rsid w:val="00E00166"/>
    <w:rsid w:val="00E00411"/>
    <w:rsid w:val="00E00416"/>
    <w:rsid w:val="00E00BFE"/>
    <w:rsid w:val="00E00CC8"/>
    <w:rsid w:val="00E01407"/>
    <w:rsid w:val="00E02079"/>
    <w:rsid w:val="00E02101"/>
    <w:rsid w:val="00E02AB4"/>
    <w:rsid w:val="00E032D4"/>
    <w:rsid w:val="00E04200"/>
    <w:rsid w:val="00E04A2C"/>
    <w:rsid w:val="00E05DCA"/>
    <w:rsid w:val="00E10C62"/>
    <w:rsid w:val="00E10CAD"/>
    <w:rsid w:val="00E10D1C"/>
    <w:rsid w:val="00E14DBE"/>
    <w:rsid w:val="00E153BC"/>
    <w:rsid w:val="00E16063"/>
    <w:rsid w:val="00E20383"/>
    <w:rsid w:val="00E2082F"/>
    <w:rsid w:val="00E20CB9"/>
    <w:rsid w:val="00E226C1"/>
    <w:rsid w:val="00E231A2"/>
    <w:rsid w:val="00E2390C"/>
    <w:rsid w:val="00E23F35"/>
    <w:rsid w:val="00E2628C"/>
    <w:rsid w:val="00E2674E"/>
    <w:rsid w:val="00E26791"/>
    <w:rsid w:val="00E2770C"/>
    <w:rsid w:val="00E277A0"/>
    <w:rsid w:val="00E30233"/>
    <w:rsid w:val="00E31917"/>
    <w:rsid w:val="00E3218A"/>
    <w:rsid w:val="00E32207"/>
    <w:rsid w:val="00E33189"/>
    <w:rsid w:val="00E334B6"/>
    <w:rsid w:val="00E34912"/>
    <w:rsid w:val="00E365AF"/>
    <w:rsid w:val="00E40929"/>
    <w:rsid w:val="00E40C46"/>
    <w:rsid w:val="00E422F2"/>
    <w:rsid w:val="00E42A3F"/>
    <w:rsid w:val="00E43F7D"/>
    <w:rsid w:val="00E44F5C"/>
    <w:rsid w:val="00E45627"/>
    <w:rsid w:val="00E45678"/>
    <w:rsid w:val="00E457E4"/>
    <w:rsid w:val="00E46050"/>
    <w:rsid w:val="00E46CDC"/>
    <w:rsid w:val="00E47F25"/>
    <w:rsid w:val="00E51E21"/>
    <w:rsid w:val="00E52B3D"/>
    <w:rsid w:val="00E53232"/>
    <w:rsid w:val="00E53540"/>
    <w:rsid w:val="00E53F32"/>
    <w:rsid w:val="00E5531D"/>
    <w:rsid w:val="00E5532F"/>
    <w:rsid w:val="00E56A7C"/>
    <w:rsid w:val="00E619B3"/>
    <w:rsid w:val="00E62634"/>
    <w:rsid w:val="00E633B0"/>
    <w:rsid w:val="00E633D8"/>
    <w:rsid w:val="00E63609"/>
    <w:rsid w:val="00E63AFB"/>
    <w:rsid w:val="00E64A24"/>
    <w:rsid w:val="00E64A58"/>
    <w:rsid w:val="00E65CEB"/>
    <w:rsid w:val="00E6686F"/>
    <w:rsid w:val="00E66BF1"/>
    <w:rsid w:val="00E67198"/>
    <w:rsid w:val="00E672ED"/>
    <w:rsid w:val="00E70AC2"/>
    <w:rsid w:val="00E714BC"/>
    <w:rsid w:val="00E71753"/>
    <w:rsid w:val="00E718FD"/>
    <w:rsid w:val="00E71EF2"/>
    <w:rsid w:val="00E72694"/>
    <w:rsid w:val="00E772B0"/>
    <w:rsid w:val="00E778E0"/>
    <w:rsid w:val="00E80213"/>
    <w:rsid w:val="00E81B38"/>
    <w:rsid w:val="00E81EEF"/>
    <w:rsid w:val="00E8245B"/>
    <w:rsid w:val="00E83A6B"/>
    <w:rsid w:val="00E85796"/>
    <w:rsid w:val="00E85920"/>
    <w:rsid w:val="00E85AA6"/>
    <w:rsid w:val="00E85F31"/>
    <w:rsid w:val="00E86696"/>
    <w:rsid w:val="00E86E89"/>
    <w:rsid w:val="00E90090"/>
    <w:rsid w:val="00E90E08"/>
    <w:rsid w:val="00E91FCF"/>
    <w:rsid w:val="00E9473A"/>
    <w:rsid w:val="00E94ACE"/>
    <w:rsid w:val="00E94D24"/>
    <w:rsid w:val="00E95A89"/>
    <w:rsid w:val="00E95A92"/>
    <w:rsid w:val="00E9613B"/>
    <w:rsid w:val="00E966B8"/>
    <w:rsid w:val="00E96DEA"/>
    <w:rsid w:val="00EA011F"/>
    <w:rsid w:val="00EA0494"/>
    <w:rsid w:val="00EA0AA2"/>
    <w:rsid w:val="00EA13AB"/>
    <w:rsid w:val="00EA237F"/>
    <w:rsid w:val="00EA2C77"/>
    <w:rsid w:val="00EA3CC7"/>
    <w:rsid w:val="00EA4039"/>
    <w:rsid w:val="00EA458A"/>
    <w:rsid w:val="00EA49F4"/>
    <w:rsid w:val="00EA4F01"/>
    <w:rsid w:val="00EA73DC"/>
    <w:rsid w:val="00EA7402"/>
    <w:rsid w:val="00EB1343"/>
    <w:rsid w:val="00EB358A"/>
    <w:rsid w:val="00EB36FF"/>
    <w:rsid w:val="00EB3937"/>
    <w:rsid w:val="00EB422D"/>
    <w:rsid w:val="00EB4288"/>
    <w:rsid w:val="00EB4505"/>
    <w:rsid w:val="00EC103A"/>
    <w:rsid w:val="00EC193E"/>
    <w:rsid w:val="00EC19B4"/>
    <w:rsid w:val="00EC1C30"/>
    <w:rsid w:val="00EC2011"/>
    <w:rsid w:val="00EC208F"/>
    <w:rsid w:val="00EC2C93"/>
    <w:rsid w:val="00EC4DDF"/>
    <w:rsid w:val="00EC7825"/>
    <w:rsid w:val="00ED04AA"/>
    <w:rsid w:val="00ED1A43"/>
    <w:rsid w:val="00ED2DF6"/>
    <w:rsid w:val="00ED3CF3"/>
    <w:rsid w:val="00ED4BD8"/>
    <w:rsid w:val="00ED524F"/>
    <w:rsid w:val="00ED62A0"/>
    <w:rsid w:val="00ED6A64"/>
    <w:rsid w:val="00ED6EC9"/>
    <w:rsid w:val="00ED70D4"/>
    <w:rsid w:val="00ED7A00"/>
    <w:rsid w:val="00EE2FA1"/>
    <w:rsid w:val="00EE37D0"/>
    <w:rsid w:val="00EE38A0"/>
    <w:rsid w:val="00EE38AE"/>
    <w:rsid w:val="00EE3B19"/>
    <w:rsid w:val="00EE540B"/>
    <w:rsid w:val="00EE5586"/>
    <w:rsid w:val="00EE6363"/>
    <w:rsid w:val="00EE79F3"/>
    <w:rsid w:val="00EE7B7E"/>
    <w:rsid w:val="00EF0231"/>
    <w:rsid w:val="00EF0798"/>
    <w:rsid w:val="00EF0DCD"/>
    <w:rsid w:val="00EF28B9"/>
    <w:rsid w:val="00EF2909"/>
    <w:rsid w:val="00EF2FA3"/>
    <w:rsid w:val="00EF30F4"/>
    <w:rsid w:val="00EF312B"/>
    <w:rsid w:val="00EF5264"/>
    <w:rsid w:val="00EF56F1"/>
    <w:rsid w:val="00EF6993"/>
    <w:rsid w:val="00EF6BFB"/>
    <w:rsid w:val="00EF782B"/>
    <w:rsid w:val="00EF79DD"/>
    <w:rsid w:val="00EF7BCA"/>
    <w:rsid w:val="00EF7D32"/>
    <w:rsid w:val="00F00645"/>
    <w:rsid w:val="00F02532"/>
    <w:rsid w:val="00F043FC"/>
    <w:rsid w:val="00F04490"/>
    <w:rsid w:val="00F04FEF"/>
    <w:rsid w:val="00F0507D"/>
    <w:rsid w:val="00F05323"/>
    <w:rsid w:val="00F0547F"/>
    <w:rsid w:val="00F05554"/>
    <w:rsid w:val="00F06D8C"/>
    <w:rsid w:val="00F0701A"/>
    <w:rsid w:val="00F078D1"/>
    <w:rsid w:val="00F07E77"/>
    <w:rsid w:val="00F1039B"/>
    <w:rsid w:val="00F105C7"/>
    <w:rsid w:val="00F10E2C"/>
    <w:rsid w:val="00F110AF"/>
    <w:rsid w:val="00F114E2"/>
    <w:rsid w:val="00F11D17"/>
    <w:rsid w:val="00F122BF"/>
    <w:rsid w:val="00F12967"/>
    <w:rsid w:val="00F13A50"/>
    <w:rsid w:val="00F13EFB"/>
    <w:rsid w:val="00F144E6"/>
    <w:rsid w:val="00F162FF"/>
    <w:rsid w:val="00F16730"/>
    <w:rsid w:val="00F16ADE"/>
    <w:rsid w:val="00F201A0"/>
    <w:rsid w:val="00F208D3"/>
    <w:rsid w:val="00F20DD5"/>
    <w:rsid w:val="00F21226"/>
    <w:rsid w:val="00F217FF"/>
    <w:rsid w:val="00F21A40"/>
    <w:rsid w:val="00F233A4"/>
    <w:rsid w:val="00F2395F"/>
    <w:rsid w:val="00F258F2"/>
    <w:rsid w:val="00F27D45"/>
    <w:rsid w:val="00F3067A"/>
    <w:rsid w:val="00F31249"/>
    <w:rsid w:val="00F31A96"/>
    <w:rsid w:val="00F336FE"/>
    <w:rsid w:val="00F33C1A"/>
    <w:rsid w:val="00F352EB"/>
    <w:rsid w:val="00F35DCB"/>
    <w:rsid w:val="00F37023"/>
    <w:rsid w:val="00F37097"/>
    <w:rsid w:val="00F376B1"/>
    <w:rsid w:val="00F40912"/>
    <w:rsid w:val="00F40F67"/>
    <w:rsid w:val="00F413F3"/>
    <w:rsid w:val="00F41913"/>
    <w:rsid w:val="00F429F5"/>
    <w:rsid w:val="00F4338A"/>
    <w:rsid w:val="00F43B32"/>
    <w:rsid w:val="00F43FAD"/>
    <w:rsid w:val="00F44E2E"/>
    <w:rsid w:val="00F46110"/>
    <w:rsid w:val="00F5049A"/>
    <w:rsid w:val="00F5136E"/>
    <w:rsid w:val="00F51703"/>
    <w:rsid w:val="00F52524"/>
    <w:rsid w:val="00F53C02"/>
    <w:rsid w:val="00F549A2"/>
    <w:rsid w:val="00F550F6"/>
    <w:rsid w:val="00F56AF1"/>
    <w:rsid w:val="00F60EA2"/>
    <w:rsid w:val="00F61C5D"/>
    <w:rsid w:val="00F625C0"/>
    <w:rsid w:val="00F628C5"/>
    <w:rsid w:val="00F65447"/>
    <w:rsid w:val="00F654F5"/>
    <w:rsid w:val="00F70991"/>
    <w:rsid w:val="00F71808"/>
    <w:rsid w:val="00F729C9"/>
    <w:rsid w:val="00F72C8B"/>
    <w:rsid w:val="00F72D12"/>
    <w:rsid w:val="00F7309D"/>
    <w:rsid w:val="00F735E0"/>
    <w:rsid w:val="00F73E29"/>
    <w:rsid w:val="00F74279"/>
    <w:rsid w:val="00F7439B"/>
    <w:rsid w:val="00F744D3"/>
    <w:rsid w:val="00F74A5B"/>
    <w:rsid w:val="00F75CC3"/>
    <w:rsid w:val="00F762E6"/>
    <w:rsid w:val="00F76F34"/>
    <w:rsid w:val="00F7786A"/>
    <w:rsid w:val="00F779A6"/>
    <w:rsid w:val="00F82128"/>
    <w:rsid w:val="00F826A4"/>
    <w:rsid w:val="00F83A2C"/>
    <w:rsid w:val="00F844AA"/>
    <w:rsid w:val="00F84686"/>
    <w:rsid w:val="00F862DB"/>
    <w:rsid w:val="00F86B6A"/>
    <w:rsid w:val="00F870D2"/>
    <w:rsid w:val="00F87FAB"/>
    <w:rsid w:val="00F934AA"/>
    <w:rsid w:val="00F946D6"/>
    <w:rsid w:val="00F94E27"/>
    <w:rsid w:val="00F96072"/>
    <w:rsid w:val="00F97321"/>
    <w:rsid w:val="00FA01E5"/>
    <w:rsid w:val="00FA078D"/>
    <w:rsid w:val="00FA09AD"/>
    <w:rsid w:val="00FA1C2E"/>
    <w:rsid w:val="00FA2B0C"/>
    <w:rsid w:val="00FA2C3D"/>
    <w:rsid w:val="00FA426F"/>
    <w:rsid w:val="00FA45CD"/>
    <w:rsid w:val="00FA4EB5"/>
    <w:rsid w:val="00FA6D23"/>
    <w:rsid w:val="00FA6D58"/>
    <w:rsid w:val="00FB004B"/>
    <w:rsid w:val="00FB0C87"/>
    <w:rsid w:val="00FB0CF5"/>
    <w:rsid w:val="00FB0E70"/>
    <w:rsid w:val="00FB1F4D"/>
    <w:rsid w:val="00FB25DA"/>
    <w:rsid w:val="00FB30CF"/>
    <w:rsid w:val="00FB3169"/>
    <w:rsid w:val="00FB380C"/>
    <w:rsid w:val="00FB5379"/>
    <w:rsid w:val="00FB767C"/>
    <w:rsid w:val="00FC0907"/>
    <w:rsid w:val="00FC1C91"/>
    <w:rsid w:val="00FC21CF"/>
    <w:rsid w:val="00FC2F29"/>
    <w:rsid w:val="00FC3053"/>
    <w:rsid w:val="00FC40C9"/>
    <w:rsid w:val="00FC42CD"/>
    <w:rsid w:val="00FC4379"/>
    <w:rsid w:val="00FC5245"/>
    <w:rsid w:val="00FC53F6"/>
    <w:rsid w:val="00FC67DB"/>
    <w:rsid w:val="00FC759A"/>
    <w:rsid w:val="00FD037D"/>
    <w:rsid w:val="00FD05CF"/>
    <w:rsid w:val="00FD1D56"/>
    <w:rsid w:val="00FD665A"/>
    <w:rsid w:val="00FD6DD7"/>
    <w:rsid w:val="00FE028A"/>
    <w:rsid w:val="00FE028F"/>
    <w:rsid w:val="00FE1D21"/>
    <w:rsid w:val="00FE3A46"/>
    <w:rsid w:val="00FE3F4C"/>
    <w:rsid w:val="00FE4438"/>
    <w:rsid w:val="00FE5129"/>
    <w:rsid w:val="00FE5229"/>
    <w:rsid w:val="00FE56EB"/>
    <w:rsid w:val="00FE6FB8"/>
    <w:rsid w:val="00FE7242"/>
    <w:rsid w:val="00FE7A38"/>
    <w:rsid w:val="00FF00E1"/>
    <w:rsid w:val="00FF010A"/>
    <w:rsid w:val="00FF0F9E"/>
    <w:rsid w:val="00FF5B3E"/>
    <w:rsid w:val="00FF5FD9"/>
    <w:rsid w:val="00FF6193"/>
    <w:rsid w:val="00FF691D"/>
    <w:rsid w:val="00FF738D"/>
    <w:rsid w:val="00FF74DA"/>
    <w:rsid w:val="3AB920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5DEF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FDE"/>
    <w:pPr>
      <w:spacing w:before="160"/>
    </w:pPr>
  </w:style>
  <w:style w:type="paragraph" w:styleId="Heading1">
    <w:name w:val="heading 1"/>
    <w:basedOn w:val="Heading2"/>
    <w:next w:val="Normal"/>
    <w:link w:val="Heading1Char"/>
    <w:uiPriority w:val="9"/>
    <w:qFormat/>
    <w:rsid w:val="00CE1B37"/>
    <w:pPr>
      <w:numPr>
        <w:numId w:val="0"/>
      </w:numPr>
      <w:outlineLvl w:val="0"/>
    </w:pPr>
    <w:rPr>
      <w:b w:val="0"/>
      <w:color w:val="2F5496" w:themeColor="accent1" w:themeShade="BF"/>
      <w:sz w:val="28"/>
    </w:rPr>
  </w:style>
  <w:style w:type="paragraph" w:styleId="Heading2">
    <w:name w:val="heading 2"/>
    <w:basedOn w:val="Normal"/>
    <w:next w:val="Normal"/>
    <w:link w:val="Heading2Char"/>
    <w:uiPriority w:val="9"/>
    <w:unhideWhenUsed/>
    <w:qFormat/>
    <w:rsid w:val="00CE1B37"/>
    <w:pPr>
      <w:keepNext/>
      <w:keepLines/>
      <w:numPr>
        <w:numId w:val="1"/>
      </w:numPr>
      <w:spacing w:before="240" w:after="240"/>
      <w:outlineLvl w:val="1"/>
    </w:pPr>
    <w:rPr>
      <w:rFonts w:asciiTheme="majorHAnsi" w:eastAsiaTheme="majorEastAsia" w:hAnsiTheme="majorHAnsi" w:cstheme="majorBidi"/>
      <w:b/>
      <w:color w:val="1F3864" w:themeColor="accent1" w:themeShade="80"/>
      <w:sz w:val="24"/>
      <w:szCs w:val="26"/>
      <w:lang w:val="en-AU"/>
    </w:rPr>
  </w:style>
  <w:style w:type="paragraph" w:styleId="Heading3">
    <w:name w:val="heading 3"/>
    <w:basedOn w:val="Normal"/>
    <w:next w:val="Normal"/>
    <w:link w:val="Heading3Char"/>
    <w:uiPriority w:val="9"/>
    <w:unhideWhenUsed/>
    <w:qFormat/>
    <w:rsid w:val="005D5FDE"/>
    <w:pPr>
      <w:keepNext/>
      <w:keepLines/>
      <w:numPr>
        <w:numId w:val="2"/>
      </w:numPr>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unhideWhenUsed/>
    <w:qFormat/>
    <w:rsid w:val="005D5FDE"/>
    <w:pPr>
      <w:keepNext/>
      <w:keepLines/>
      <w:spacing w:before="120" w:after="12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37"/>
    <w:rPr>
      <w:rFonts w:asciiTheme="majorHAnsi" w:eastAsiaTheme="majorEastAsia" w:hAnsiTheme="majorHAnsi" w:cstheme="majorBidi"/>
      <w:color w:val="2F5496" w:themeColor="accent1" w:themeShade="BF"/>
      <w:sz w:val="28"/>
      <w:szCs w:val="26"/>
      <w:lang w:val="en-AU"/>
    </w:rPr>
  </w:style>
  <w:style w:type="character" w:customStyle="1" w:styleId="Heading2Char">
    <w:name w:val="Heading 2 Char"/>
    <w:basedOn w:val="DefaultParagraphFont"/>
    <w:link w:val="Heading2"/>
    <w:uiPriority w:val="9"/>
    <w:rsid w:val="00CE1B37"/>
    <w:rPr>
      <w:rFonts w:asciiTheme="majorHAnsi" w:eastAsiaTheme="majorEastAsia" w:hAnsiTheme="majorHAnsi" w:cstheme="majorBidi"/>
      <w:b/>
      <w:color w:val="1F3864" w:themeColor="accent1" w:themeShade="80"/>
      <w:sz w:val="24"/>
      <w:szCs w:val="26"/>
      <w:lang w:val="en-AU"/>
    </w:rPr>
  </w:style>
  <w:style w:type="paragraph" w:styleId="NormalWeb">
    <w:name w:val="Normal (Web)"/>
    <w:basedOn w:val="Normal"/>
    <w:uiPriority w:val="99"/>
    <w:semiHidden/>
    <w:unhideWhenUsed/>
    <w:rsid w:val="005D5FDE"/>
    <w:pPr>
      <w:spacing w:before="100" w:beforeAutospacing="1" w:after="100" w:afterAutospacing="1" w:line="240" w:lineRule="auto"/>
    </w:pPr>
    <w:rPr>
      <w:rFonts w:ascii="Times New Roman" w:eastAsia="Times New Roman" w:hAnsi="Times New Roman" w:cs="Times New Roman"/>
      <w:sz w:val="24"/>
      <w:szCs w:val="24"/>
      <w:lang w:val="en-AU"/>
    </w:rPr>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bullet point list"/>
    <w:basedOn w:val="Normal"/>
    <w:link w:val="ListParagraphChar"/>
    <w:uiPriority w:val="34"/>
    <w:qFormat/>
    <w:rsid w:val="005D5FDE"/>
    <w:pPr>
      <w:numPr>
        <w:numId w:val="4"/>
      </w:numPr>
    </w:pPr>
  </w:style>
  <w:style w:type="character" w:customStyle="1" w:styleId="Heading3Char">
    <w:name w:val="Heading 3 Char"/>
    <w:basedOn w:val="DefaultParagraphFont"/>
    <w:link w:val="Heading3"/>
    <w:uiPriority w:val="9"/>
    <w:rsid w:val="005D5FDE"/>
    <w:rPr>
      <w:rFonts w:asciiTheme="majorHAnsi" w:eastAsiaTheme="majorEastAsia" w:hAnsiTheme="majorHAnsi" w:cstheme="majorBidi"/>
      <w:color w:val="1F3763" w:themeColor="accent1" w:themeShade="7F"/>
      <w:sz w:val="24"/>
      <w:szCs w:val="24"/>
      <w:lang w:val="en-AU"/>
    </w:rPr>
  </w:style>
  <w:style w:type="character" w:customStyle="1" w:styleId="Heading4Char">
    <w:name w:val="Heading 4 Char"/>
    <w:basedOn w:val="DefaultParagraphFont"/>
    <w:link w:val="Heading4"/>
    <w:uiPriority w:val="9"/>
    <w:rsid w:val="005D5FDE"/>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rsid w:val="005D5FDE"/>
    <w:pPr>
      <w:spacing w:before="0" w:after="0" w:line="240" w:lineRule="auto"/>
    </w:pPr>
    <w:rPr>
      <w:sz w:val="20"/>
      <w:szCs w:val="20"/>
      <w:lang w:val="en-AU"/>
    </w:rPr>
  </w:style>
  <w:style w:type="character" w:customStyle="1" w:styleId="FootnoteTextChar">
    <w:name w:val="Footnote Text Char"/>
    <w:basedOn w:val="DefaultParagraphFont"/>
    <w:link w:val="FootnoteText"/>
    <w:uiPriority w:val="99"/>
    <w:rsid w:val="005D5FDE"/>
    <w:rPr>
      <w:sz w:val="20"/>
      <w:szCs w:val="20"/>
      <w:lang w:val="en-AU"/>
    </w:rPr>
  </w:style>
  <w:style w:type="character" w:styleId="FootnoteReference">
    <w:name w:val="footnote reference"/>
    <w:basedOn w:val="DefaultParagraphFont"/>
    <w:uiPriority w:val="99"/>
    <w:unhideWhenUsed/>
    <w:rsid w:val="005D5FDE"/>
    <w:rPr>
      <w:vertAlign w:val="superscript"/>
    </w:rPr>
  </w:style>
  <w:style w:type="character" w:styleId="CommentReference">
    <w:name w:val="annotation reference"/>
    <w:basedOn w:val="DefaultParagraphFont"/>
    <w:semiHidden/>
    <w:unhideWhenUsed/>
    <w:rsid w:val="005D5FDE"/>
    <w:rPr>
      <w:sz w:val="16"/>
      <w:szCs w:val="16"/>
    </w:rPr>
  </w:style>
  <w:style w:type="paragraph" w:styleId="CommentText">
    <w:name w:val="annotation text"/>
    <w:basedOn w:val="Normal"/>
    <w:link w:val="CommentTextChar"/>
    <w:unhideWhenUsed/>
    <w:rsid w:val="005D5FDE"/>
    <w:pPr>
      <w:spacing w:line="240" w:lineRule="auto"/>
    </w:pPr>
    <w:rPr>
      <w:sz w:val="20"/>
      <w:szCs w:val="20"/>
    </w:rPr>
  </w:style>
  <w:style w:type="character" w:customStyle="1" w:styleId="CommentTextChar">
    <w:name w:val="Comment Text Char"/>
    <w:basedOn w:val="DefaultParagraphFont"/>
    <w:link w:val="CommentText"/>
    <w:rsid w:val="005D5FDE"/>
    <w:rPr>
      <w:sz w:val="20"/>
      <w:szCs w:val="20"/>
    </w:rPr>
  </w:style>
  <w:style w:type="paragraph" w:styleId="CommentSubject">
    <w:name w:val="annotation subject"/>
    <w:basedOn w:val="CommentText"/>
    <w:next w:val="CommentText"/>
    <w:link w:val="CommentSubjectChar"/>
    <w:uiPriority w:val="99"/>
    <w:semiHidden/>
    <w:unhideWhenUsed/>
    <w:rsid w:val="005D5FDE"/>
    <w:rPr>
      <w:b/>
      <w:bCs/>
    </w:rPr>
  </w:style>
  <w:style w:type="character" w:customStyle="1" w:styleId="CommentSubjectChar">
    <w:name w:val="Comment Subject Char"/>
    <w:basedOn w:val="CommentTextChar"/>
    <w:link w:val="CommentSubject"/>
    <w:uiPriority w:val="99"/>
    <w:semiHidden/>
    <w:rsid w:val="005D5FDE"/>
    <w:rPr>
      <w:b/>
      <w:bCs/>
      <w:sz w:val="20"/>
      <w:szCs w:val="20"/>
    </w:rPr>
  </w:style>
  <w:style w:type="paragraph" w:styleId="BalloonText">
    <w:name w:val="Balloon Text"/>
    <w:basedOn w:val="Normal"/>
    <w:link w:val="BalloonTextChar"/>
    <w:uiPriority w:val="99"/>
    <w:semiHidden/>
    <w:unhideWhenUsed/>
    <w:rsid w:val="005D5FDE"/>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5FDE"/>
    <w:rPr>
      <w:rFonts w:ascii="Times New Roman" w:hAnsi="Times New Roman" w:cs="Times New Roman"/>
      <w:sz w:val="18"/>
      <w:szCs w:val="18"/>
    </w:rPr>
  </w:style>
  <w:style w:type="paragraph" w:customStyle="1" w:styleId="Default">
    <w:name w:val="Default"/>
    <w:rsid w:val="005D5FDE"/>
    <w:pPr>
      <w:autoSpaceDE w:val="0"/>
      <w:autoSpaceDN w:val="0"/>
      <w:adjustRightInd w:val="0"/>
      <w:spacing w:after="0" w:line="240" w:lineRule="auto"/>
    </w:pPr>
    <w:rPr>
      <w:rFonts w:ascii="Arial" w:hAnsi="Arial" w:cs="Arial"/>
      <w:color w:val="000000"/>
      <w:sz w:val="24"/>
      <w:szCs w:val="24"/>
      <w:lang w:val="en-AU"/>
    </w:rPr>
  </w:style>
  <w:style w:type="character" w:styleId="Hyperlink">
    <w:name w:val="Hyperlink"/>
    <w:basedOn w:val="DefaultParagraphFont"/>
    <w:uiPriority w:val="99"/>
    <w:unhideWhenUsed/>
    <w:rsid w:val="005D5FDE"/>
    <w:rPr>
      <w:color w:val="0563C1" w:themeColor="hyperlink"/>
      <w:u w:val="single"/>
    </w:rPr>
  </w:style>
  <w:style w:type="paragraph" w:styleId="TOC1">
    <w:name w:val="toc 1"/>
    <w:basedOn w:val="Normal"/>
    <w:next w:val="Normal"/>
    <w:autoRedefine/>
    <w:uiPriority w:val="39"/>
    <w:unhideWhenUsed/>
    <w:rsid w:val="005D5FDE"/>
    <w:pPr>
      <w:spacing w:after="100"/>
    </w:pPr>
  </w:style>
  <w:style w:type="paragraph" w:styleId="TOC2">
    <w:name w:val="toc 2"/>
    <w:basedOn w:val="Normal"/>
    <w:next w:val="Normal"/>
    <w:autoRedefine/>
    <w:uiPriority w:val="39"/>
    <w:unhideWhenUsed/>
    <w:rsid w:val="005D5FDE"/>
    <w:pPr>
      <w:spacing w:after="100"/>
      <w:ind w:left="220"/>
    </w:pPr>
  </w:style>
  <w:style w:type="table" w:styleId="TableGrid">
    <w:name w:val="Table Grid"/>
    <w:basedOn w:val="TableNormal"/>
    <w:uiPriority w:val="39"/>
    <w:rsid w:val="005D5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CE1B37"/>
    <w:pPr>
      <w:jc w:val="center"/>
    </w:pPr>
  </w:style>
  <w:style w:type="character" w:customStyle="1" w:styleId="TitleChar">
    <w:name w:val="Title Char"/>
    <w:basedOn w:val="DefaultParagraphFont"/>
    <w:link w:val="Title"/>
    <w:uiPriority w:val="10"/>
    <w:rsid w:val="00CE1B37"/>
    <w:rPr>
      <w:rFonts w:asciiTheme="majorHAnsi" w:eastAsiaTheme="majorEastAsia" w:hAnsiTheme="majorHAnsi" w:cstheme="majorBidi"/>
      <w:color w:val="2F5496" w:themeColor="accent1" w:themeShade="BF"/>
      <w:sz w:val="32"/>
      <w:szCs w:val="32"/>
      <w:lang w:val="en-AU"/>
    </w:rPr>
  </w:style>
  <w:style w:type="numbering" w:customStyle="1" w:styleId="CurrentList1">
    <w:name w:val="Current List1"/>
    <w:uiPriority w:val="99"/>
    <w:rsid w:val="00374A2C"/>
    <w:pPr>
      <w:numPr>
        <w:numId w:val="13"/>
      </w:numPr>
    </w:pPr>
  </w:style>
  <w:style w:type="paragraph" w:customStyle="1" w:styleId="paragraph">
    <w:name w:val="paragraph"/>
    <w:basedOn w:val="Normal"/>
    <w:rsid w:val="009E4C36"/>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normaltextrun">
    <w:name w:val="normaltextrun"/>
    <w:basedOn w:val="DefaultParagraphFont"/>
    <w:rsid w:val="009E4C36"/>
  </w:style>
  <w:style w:type="character" w:customStyle="1" w:styleId="eop">
    <w:name w:val="eop"/>
    <w:basedOn w:val="DefaultParagraphFont"/>
    <w:rsid w:val="009E4C36"/>
  </w:style>
  <w:style w:type="paragraph" w:styleId="Header">
    <w:name w:val="header"/>
    <w:basedOn w:val="Normal"/>
    <w:link w:val="HeaderChar"/>
    <w:uiPriority w:val="99"/>
    <w:unhideWhenUsed/>
    <w:rsid w:val="0029331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93312"/>
  </w:style>
  <w:style w:type="paragraph" w:styleId="Footer">
    <w:name w:val="footer"/>
    <w:basedOn w:val="Normal"/>
    <w:link w:val="FooterChar"/>
    <w:uiPriority w:val="99"/>
    <w:unhideWhenUsed/>
    <w:rsid w:val="0029331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93312"/>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b Char"/>
    <w:basedOn w:val="DefaultParagraphFont"/>
    <w:link w:val="ListParagraph"/>
    <w:uiPriority w:val="34"/>
    <w:qFormat/>
    <w:locked/>
    <w:rsid w:val="00D1270F"/>
  </w:style>
  <w:style w:type="paragraph" w:styleId="Revision">
    <w:name w:val="Revision"/>
    <w:hidden/>
    <w:uiPriority w:val="99"/>
    <w:semiHidden/>
    <w:rsid w:val="009346D8"/>
    <w:pPr>
      <w:spacing w:after="0" w:line="240" w:lineRule="auto"/>
    </w:pPr>
  </w:style>
  <w:style w:type="paragraph" w:styleId="EndnoteText">
    <w:name w:val="endnote text"/>
    <w:basedOn w:val="Normal"/>
    <w:link w:val="EndnoteTextChar"/>
    <w:uiPriority w:val="99"/>
    <w:unhideWhenUsed/>
    <w:rsid w:val="00F16ADE"/>
    <w:pPr>
      <w:spacing w:before="0" w:after="0" w:line="240" w:lineRule="auto"/>
    </w:pPr>
    <w:rPr>
      <w:sz w:val="20"/>
      <w:szCs w:val="20"/>
    </w:rPr>
  </w:style>
  <w:style w:type="character" w:customStyle="1" w:styleId="EndnoteTextChar">
    <w:name w:val="Endnote Text Char"/>
    <w:basedOn w:val="DefaultParagraphFont"/>
    <w:link w:val="EndnoteText"/>
    <w:uiPriority w:val="99"/>
    <w:rsid w:val="00F16ADE"/>
    <w:rPr>
      <w:sz w:val="20"/>
      <w:szCs w:val="20"/>
    </w:rPr>
  </w:style>
  <w:style w:type="character" w:styleId="EndnoteReference">
    <w:name w:val="endnote reference"/>
    <w:basedOn w:val="DefaultParagraphFont"/>
    <w:uiPriority w:val="99"/>
    <w:unhideWhenUsed/>
    <w:rsid w:val="00F16ADE"/>
    <w:rPr>
      <w:vertAlign w:val="superscript"/>
    </w:rPr>
  </w:style>
  <w:style w:type="paragraph" w:styleId="Caption">
    <w:name w:val="caption"/>
    <w:basedOn w:val="Normal"/>
    <w:next w:val="Normal"/>
    <w:uiPriority w:val="35"/>
    <w:unhideWhenUsed/>
    <w:qFormat/>
    <w:rsid w:val="00823E24"/>
    <w:pPr>
      <w:spacing w:before="0"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1277F9"/>
    <w:pPr>
      <w:spacing w:after="0"/>
      <w:outlineLvl w:val="9"/>
    </w:pPr>
    <w:rPr>
      <w:sz w:val="32"/>
      <w:szCs w:val="32"/>
      <w:lang w:val="en-US"/>
    </w:rPr>
  </w:style>
  <w:style w:type="character" w:customStyle="1" w:styleId="UnresolvedMention">
    <w:name w:val="Unresolved Mention"/>
    <w:basedOn w:val="DefaultParagraphFont"/>
    <w:uiPriority w:val="99"/>
    <w:semiHidden/>
    <w:unhideWhenUsed/>
    <w:rsid w:val="00847639"/>
    <w:rPr>
      <w:color w:val="605E5C"/>
      <w:shd w:val="clear" w:color="auto" w:fill="E1DFDD"/>
    </w:rPr>
  </w:style>
  <w:style w:type="paragraph" w:styleId="BodyText">
    <w:name w:val="Body Text"/>
    <w:basedOn w:val="Normal"/>
    <w:link w:val="BodyTextChar"/>
    <w:qFormat/>
    <w:rsid w:val="00101111"/>
    <w:pPr>
      <w:spacing w:before="0" w:after="120" w:line="264" w:lineRule="auto"/>
    </w:pPr>
    <w:rPr>
      <w:color w:val="262626" w:themeColor="text1" w:themeTint="D9"/>
      <w:sz w:val="20"/>
      <w:szCs w:val="20"/>
      <w:lang w:val="en-AU"/>
    </w:rPr>
  </w:style>
  <w:style w:type="character" w:customStyle="1" w:styleId="BodyTextChar">
    <w:name w:val="Body Text Char"/>
    <w:basedOn w:val="DefaultParagraphFont"/>
    <w:link w:val="BodyText"/>
    <w:rsid w:val="00101111"/>
    <w:rPr>
      <w:color w:val="262626" w:themeColor="text1" w:themeTint="D9"/>
      <w:sz w:val="20"/>
      <w:szCs w:val="20"/>
      <w:lang w:val="en-AU"/>
    </w:rPr>
  </w:style>
  <w:style w:type="paragraph" w:styleId="ListBullet">
    <w:name w:val="List Bullet"/>
    <w:basedOn w:val="Normal"/>
    <w:uiPriority w:val="99"/>
    <w:unhideWhenUsed/>
    <w:rsid w:val="00684C30"/>
    <w:pPr>
      <w:numPr>
        <w:numId w:val="28"/>
      </w:numPr>
      <w:spacing w:before="0" w:after="200" w:line="300" w:lineRule="auto"/>
      <w:contextualSpacing/>
    </w:pPr>
    <w:rPr>
      <w:sz w:val="28"/>
      <w:lang w:val="en-AU"/>
    </w:rPr>
  </w:style>
  <w:style w:type="paragraph" w:styleId="TOC3">
    <w:name w:val="toc 3"/>
    <w:basedOn w:val="Normal"/>
    <w:next w:val="Normal"/>
    <w:autoRedefine/>
    <w:uiPriority w:val="39"/>
    <w:unhideWhenUsed/>
    <w:rsid w:val="00C45144"/>
    <w:pPr>
      <w:spacing w:after="100"/>
      <w:ind w:left="440"/>
    </w:pPr>
  </w:style>
  <w:style w:type="paragraph" w:styleId="IntenseQuote">
    <w:name w:val="Intense Quote"/>
    <w:basedOn w:val="Normal"/>
    <w:next w:val="Normal"/>
    <w:link w:val="IntenseQuoteChar"/>
    <w:uiPriority w:val="30"/>
    <w:qFormat/>
    <w:rsid w:val="00AB08A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B08AC"/>
    <w:rPr>
      <w:i/>
      <w:iCs/>
      <w:color w:val="4472C4" w:themeColor="accent1"/>
    </w:rPr>
  </w:style>
  <w:style w:type="paragraph" w:customStyle="1" w:styleId="h2">
    <w:name w:val="h2"/>
    <w:basedOn w:val="Heading1"/>
    <w:link w:val="h2Char"/>
    <w:qFormat/>
    <w:rsid w:val="00036CD7"/>
    <w:pPr>
      <w:outlineLvl w:val="1"/>
    </w:pPr>
  </w:style>
  <w:style w:type="paragraph" w:customStyle="1" w:styleId="h3">
    <w:name w:val="h3"/>
    <w:basedOn w:val="Heading2"/>
    <w:link w:val="h3Char"/>
    <w:qFormat/>
    <w:rsid w:val="00036CD7"/>
    <w:pPr>
      <w:ind w:left="357" w:hanging="357"/>
      <w:outlineLvl w:val="2"/>
    </w:pPr>
  </w:style>
  <w:style w:type="character" w:customStyle="1" w:styleId="h2Char">
    <w:name w:val="h2 Char"/>
    <w:basedOn w:val="Heading1Char"/>
    <w:link w:val="h2"/>
    <w:rsid w:val="00036CD7"/>
    <w:rPr>
      <w:rFonts w:asciiTheme="majorHAnsi" w:eastAsiaTheme="majorEastAsia" w:hAnsiTheme="majorHAnsi" w:cstheme="majorBidi"/>
      <w:color w:val="2F5496" w:themeColor="accent1" w:themeShade="BF"/>
      <w:sz w:val="28"/>
      <w:szCs w:val="26"/>
      <w:lang w:val="en-AU"/>
    </w:rPr>
  </w:style>
  <w:style w:type="character" w:customStyle="1" w:styleId="h3Char">
    <w:name w:val="h3 Char"/>
    <w:basedOn w:val="Heading2Char"/>
    <w:link w:val="h3"/>
    <w:rsid w:val="00036CD7"/>
    <w:rPr>
      <w:rFonts w:asciiTheme="majorHAnsi" w:eastAsiaTheme="majorEastAsia" w:hAnsiTheme="majorHAnsi" w:cstheme="majorBidi"/>
      <w:b/>
      <w:color w:val="1F3864" w:themeColor="accent1" w:themeShade="80"/>
      <w:sz w:val="24"/>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493">
      <w:bodyDiv w:val="1"/>
      <w:marLeft w:val="0"/>
      <w:marRight w:val="0"/>
      <w:marTop w:val="0"/>
      <w:marBottom w:val="0"/>
      <w:divBdr>
        <w:top w:val="none" w:sz="0" w:space="0" w:color="auto"/>
        <w:left w:val="none" w:sz="0" w:space="0" w:color="auto"/>
        <w:bottom w:val="none" w:sz="0" w:space="0" w:color="auto"/>
        <w:right w:val="none" w:sz="0" w:space="0" w:color="auto"/>
      </w:divBdr>
    </w:div>
    <w:div w:id="44184897">
      <w:bodyDiv w:val="1"/>
      <w:marLeft w:val="0"/>
      <w:marRight w:val="0"/>
      <w:marTop w:val="0"/>
      <w:marBottom w:val="0"/>
      <w:divBdr>
        <w:top w:val="none" w:sz="0" w:space="0" w:color="auto"/>
        <w:left w:val="none" w:sz="0" w:space="0" w:color="auto"/>
        <w:bottom w:val="none" w:sz="0" w:space="0" w:color="auto"/>
        <w:right w:val="none" w:sz="0" w:space="0" w:color="auto"/>
      </w:divBdr>
    </w:div>
    <w:div w:id="78068252">
      <w:bodyDiv w:val="1"/>
      <w:marLeft w:val="0"/>
      <w:marRight w:val="0"/>
      <w:marTop w:val="0"/>
      <w:marBottom w:val="0"/>
      <w:divBdr>
        <w:top w:val="none" w:sz="0" w:space="0" w:color="auto"/>
        <w:left w:val="none" w:sz="0" w:space="0" w:color="auto"/>
        <w:bottom w:val="none" w:sz="0" w:space="0" w:color="auto"/>
        <w:right w:val="none" w:sz="0" w:space="0" w:color="auto"/>
      </w:divBdr>
    </w:div>
    <w:div w:id="104465911">
      <w:bodyDiv w:val="1"/>
      <w:marLeft w:val="0"/>
      <w:marRight w:val="0"/>
      <w:marTop w:val="0"/>
      <w:marBottom w:val="0"/>
      <w:divBdr>
        <w:top w:val="none" w:sz="0" w:space="0" w:color="auto"/>
        <w:left w:val="none" w:sz="0" w:space="0" w:color="auto"/>
        <w:bottom w:val="none" w:sz="0" w:space="0" w:color="auto"/>
        <w:right w:val="none" w:sz="0" w:space="0" w:color="auto"/>
      </w:divBdr>
    </w:div>
    <w:div w:id="121657977">
      <w:bodyDiv w:val="1"/>
      <w:marLeft w:val="0"/>
      <w:marRight w:val="0"/>
      <w:marTop w:val="0"/>
      <w:marBottom w:val="0"/>
      <w:divBdr>
        <w:top w:val="none" w:sz="0" w:space="0" w:color="auto"/>
        <w:left w:val="none" w:sz="0" w:space="0" w:color="auto"/>
        <w:bottom w:val="none" w:sz="0" w:space="0" w:color="auto"/>
        <w:right w:val="none" w:sz="0" w:space="0" w:color="auto"/>
      </w:divBdr>
    </w:div>
    <w:div w:id="138545456">
      <w:bodyDiv w:val="1"/>
      <w:marLeft w:val="0"/>
      <w:marRight w:val="0"/>
      <w:marTop w:val="0"/>
      <w:marBottom w:val="0"/>
      <w:divBdr>
        <w:top w:val="none" w:sz="0" w:space="0" w:color="auto"/>
        <w:left w:val="none" w:sz="0" w:space="0" w:color="auto"/>
        <w:bottom w:val="none" w:sz="0" w:space="0" w:color="auto"/>
        <w:right w:val="none" w:sz="0" w:space="0" w:color="auto"/>
      </w:divBdr>
    </w:div>
    <w:div w:id="158933505">
      <w:bodyDiv w:val="1"/>
      <w:marLeft w:val="0"/>
      <w:marRight w:val="0"/>
      <w:marTop w:val="0"/>
      <w:marBottom w:val="0"/>
      <w:divBdr>
        <w:top w:val="none" w:sz="0" w:space="0" w:color="auto"/>
        <w:left w:val="none" w:sz="0" w:space="0" w:color="auto"/>
        <w:bottom w:val="none" w:sz="0" w:space="0" w:color="auto"/>
        <w:right w:val="none" w:sz="0" w:space="0" w:color="auto"/>
      </w:divBdr>
    </w:div>
    <w:div w:id="229586414">
      <w:bodyDiv w:val="1"/>
      <w:marLeft w:val="0"/>
      <w:marRight w:val="0"/>
      <w:marTop w:val="0"/>
      <w:marBottom w:val="0"/>
      <w:divBdr>
        <w:top w:val="none" w:sz="0" w:space="0" w:color="auto"/>
        <w:left w:val="none" w:sz="0" w:space="0" w:color="auto"/>
        <w:bottom w:val="none" w:sz="0" w:space="0" w:color="auto"/>
        <w:right w:val="none" w:sz="0" w:space="0" w:color="auto"/>
      </w:divBdr>
    </w:div>
    <w:div w:id="325783817">
      <w:bodyDiv w:val="1"/>
      <w:marLeft w:val="0"/>
      <w:marRight w:val="0"/>
      <w:marTop w:val="0"/>
      <w:marBottom w:val="0"/>
      <w:divBdr>
        <w:top w:val="none" w:sz="0" w:space="0" w:color="auto"/>
        <w:left w:val="none" w:sz="0" w:space="0" w:color="auto"/>
        <w:bottom w:val="none" w:sz="0" w:space="0" w:color="auto"/>
        <w:right w:val="none" w:sz="0" w:space="0" w:color="auto"/>
      </w:divBdr>
    </w:div>
    <w:div w:id="337077866">
      <w:bodyDiv w:val="1"/>
      <w:marLeft w:val="0"/>
      <w:marRight w:val="0"/>
      <w:marTop w:val="0"/>
      <w:marBottom w:val="0"/>
      <w:divBdr>
        <w:top w:val="none" w:sz="0" w:space="0" w:color="auto"/>
        <w:left w:val="none" w:sz="0" w:space="0" w:color="auto"/>
        <w:bottom w:val="none" w:sz="0" w:space="0" w:color="auto"/>
        <w:right w:val="none" w:sz="0" w:space="0" w:color="auto"/>
      </w:divBdr>
    </w:div>
    <w:div w:id="338580025">
      <w:bodyDiv w:val="1"/>
      <w:marLeft w:val="0"/>
      <w:marRight w:val="0"/>
      <w:marTop w:val="0"/>
      <w:marBottom w:val="0"/>
      <w:divBdr>
        <w:top w:val="none" w:sz="0" w:space="0" w:color="auto"/>
        <w:left w:val="none" w:sz="0" w:space="0" w:color="auto"/>
        <w:bottom w:val="none" w:sz="0" w:space="0" w:color="auto"/>
        <w:right w:val="none" w:sz="0" w:space="0" w:color="auto"/>
      </w:divBdr>
    </w:div>
    <w:div w:id="402676700">
      <w:bodyDiv w:val="1"/>
      <w:marLeft w:val="0"/>
      <w:marRight w:val="0"/>
      <w:marTop w:val="0"/>
      <w:marBottom w:val="0"/>
      <w:divBdr>
        <w:top w:val="none" w:sz="0" w:space="0" w:color="auto"/>
        <w:left w:val="none" w:sz="0" w:space="0" w:color="auto"/>
        <w:bottom w:val="none" w:sz="0" w:space="0" w:color="auto"/>
        <w:right w:val="none" w:sz="0" w:space="0" w:color="auto"/>
      </w:divBdr>
      <w:divsChild>
        <w:div w:id="607081975">
          <w:marLeft w:val="0"/>
          <w:marRight w:val="0"/>
          <w:marTop w:val="0"/>
          <w:marBottom w:val="0"/>
          <w:divBdr>
            <w:top w:val="none" w:sz="0" w:space="0" w:color="auto"/>
            <w:left w:val="none" w:sz="0" w:space="0" w:color="auto"/>
            <w:bottom w:val="none" w:sz="0" w:space="0" w:color="auto"/>
            <w:right w:val="none" w:sz="0" w:space="0" w:color="auto"/>
          </w:divBdr>
          <w:divsChild>
            <w:div w:id="977228897">
              <w:marLeft w:val="0"/>
              <w:marRight w:val="0"/>
              <w:marTop w:val="0"/>
              <w:marBottom w:val="0"/>
              <w:divBdr>
                <w:top w:val="none" w:sz="0" w:space="0" w:color="auto"/>
                <w:left w:val="none" w:sz="0" w:space="0" w:color="auto"/>
                <w:bottom w:val="none" w:sz="0" w:space="0" w:color="auto"/>
                <w:right w:val="none" w:sz="0" w:space="0" w:color="auto"/>
              </w:divBdr>
              <w:divsChild>
                <w:div w:id="1032801167">
                  <w:marLeft w:val="0"/>
                  <w:marRight w:val="0"/>
                  <w:marTop w:val="0"/>
                  <w:marBottom w:val="0"/>
                  <w:divBdr>
                    <w:top w:val="none" w:sz="0" w:space="0" w:color="auto"/>
                    <w:left w:val="none" w:sz="0" w:space="0" w:color="auto"/>
                    <w:bottom w:val="none" w:sz="0" w:space="0" w:color="auto"/>
                    <w:right w:val="none" w:sz="0" w:space="0" w:color="auto"/>
                  </w:divBdr>
                  <w:divsChild>
                    <w:div w:id="10892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251470">
      <w:bodyDiv w:val="1"/>
      <w:marLeft w:val="0"/>
      <w:marRight w:val="0"/>
      <w:marTop w:val="0"/>
      <w:marBottom w:val="0"/>
      <w:divBdr>
        <w:top w:val="none" w:sz="0" w:space="0" w:color="auto"/>
        <w:left w:val="none" w:sz="0" w:space="0" w:color="auto"/>
        <w:bottom w:val="none" w:sz="0" w:space="0" w:color="auto"/>
        <w:right w:val="none" w:sz="0" w:space="0" w:color="auto"/>
      </w:divBdr>
    </w:div>
    <w:div w:id="519395038">
      <w:bodyDiv w:val="1"/>
      <w:marLeft w:val="0"/>
      <w:marRight w:val="0"/>
      <w:marTop w:val="0"/>
      <w:marBottom w:val="0"/>
      <w:divBdr>
        <w:top w:val="none" w:sz="0" w:space="0" w:color="auto"/>
        <w:left w:val="none" w:sz="0" w:space="0" w:color="auto"/>
        <w:bottom w:val="none" w:sz="0" w:space="0" w:color="auto"/>
        <w:right w:val="none" w:sz="0" w:space="0" w:color="auto"/>
      </w:divBdr>
    </w:div>
    <w:div w:id="555163694">
      <w:bodyDiv w:val="1"/>
      <w:marLeft w:val="0"/>
      <w:marRight w:val="0"/>
      <w:marTop w:val="0"/>
      <w:marBottom w:val="0"/>
      <w:divBdr>
        <w:top w:val="none" w:sz="0" w:space="0" w:color="auto"/>
        <w:left w:val="none" w:sz="0" w:space="0" w:color="auto"/>
        <w:bottom w:val="none" w:sz="0" w:space="0" w:color="auto"/>
        <w:right w:val="none" w:sz="0" w:space="0" w:color="auto"/>
      </w:divBdr>
      <w:divsChild>
        <w:div w:id="1750150875">
          <w:marLeft w:val="0"/>
          <w:marRight w:val="0"/>
          <w:marTop w:val="0"/>
          <w:marBottom w:val="0"/>
          <w:divBdr>
            <w:top w:val="none" w:sz="0" w:space="0" w:color="auto"/>
            <w:left w:val="none" w:sz="0" w:space="0" w:color="auto"/>
            <w:bottom w:val="none" w:sz="0" w:space="0" w:color="auto"/>
            <w:right w:val="none" w:sz="0" w:space="0" w:color="auto"/>
          </w:divBdr>
          <w:divsChild>
            <w:div w:id="1534029934">
              <w:marLeft w:val="0"/>
              <w:marRight w:val="0"/>
              <w:marTop w:val="0"/>
              <w:marBottom w:val="0"/>
              <w:divBdr>
                <w:top w:val="none" w:sz="0" w:space="0" w:color="auto"/>
                <w:left w:val="none" w:sz="0" w:space="0" w:color="auto"/>
                <w:bottom w:val="none" w:sz="0" w:space="0" w:color="auto"/>
                <w:right w:val="none" w:sz="0" w:space="0" w:color="auto"/>
              </w:divBdr>
              <w:divsChild>
                <w:div w:id="2103917725">
                  <w:marLeft w:val="0"/>
                  <w:marRight w:val="0"/>
                  <w:marTop w:val="0"/>
                  <w:marBottom w:val="0"/>
                  <w:divBdr>
                    <w:top w:val="none" w:sz="0" w:space="0" w:color="auto"/>
                    <w:left w:val="none" w:sz="0" w:space="0" w:color="auto"/>
                    <w:bottom w:val="none" w:sz="0" w:space="0" w:color="auto"/>
                    <w:right w:val="none" w:sz="0" w:space="0" w:color="auto"/>
                  </w:divBdr>
                  <w:divsChild>
                    <w:div w:id="4653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81686">
      <w:bodyDiv w:val="1"/>
      <w:marLeft w:val="0"/>
      <w:marRight w:val="0"/>
      <w:marTop w:val="0"/>
      <w:marBottom w:val="0"/>
      <w:divBdr>
        <w:top w:val="none" w:sz="0" w:space="0" w:color="auto"/>
        <w:left w:val="none" w:sz="0" w:space="0" w:color="auto"/>
        <w:bottom w:val="none" w:sz="0" w:space="0" w:color="auto"/>
        <w:right w:val="none" w:sz="0" w:space="0" w:color="auto"/>
      </w:divBdr>
    </w:div>
    <w:div w:id="620963783">
      <w:bodyDiv w:val="1"/>
      <w:marLeft w:val="0"/>
      <w:marRight w:val="0"/>
      <w:marTop w:val="0"/>
      <w:marBottom w:val="0"/>
      <w:divBdr>
        <w:top w:val="none" w:sz="0" w:space="0" w:color="auto"/>
        <w:left w:val="none" w:sz="0" w:space="0" w:color="auto"/>
        <w:bottom w:val="none" w:sz="0" w:space="0" w:color="auto"/>
        <w:right w:val="none" w:sz="0" w:space="0" w:color="auto"/>
      </w:divBdr>
    </w:div>
    <w:div w:id="622930727">
      <w:bodyDiv w:val="1"/>
      <w:marLeft w:val="0"/>
      <w:marRight w:val="0"/>
      <w:marTop w:val="0"/>
      <w:marBottom w:val="0"/>
      <w:divBdr>
        <w:top w:val="none" w:sz="0" w:space="0" w:color="auto"/>
        <w:left w:val="none" w:sz="0" w:space="0" w:color="auto"/>
        <w:bottom w:val="none" w:sz="0" w:space="0" w:color="auto"/>
        <w:right w:val="none" w:sz="0" w:space="0" w:color="auto"/>
      </w:divBdr>
    </w:div>
    <w:div w:id="636960676">
      <w:bodyDiv w:val="1"/>
      <w:marLeft w:val="0"/>
      <w:marRight w:val="0"/>
      <w:marTop w:val="0"/>
      <w:marBottom w:val="0"/>
      <w:divBdr>
        <w:top w:val="none" w:sz="0" w:space="0" w:color="auto"/>
        <w:left w:val="none" w:sz="0" w:space="0" w:color="auto"/>
        <w:bottom w:val="none" w:sz="0" w:space="0" w:color="auto"/>
        <w:right w:val="none" w:sz="0" w:space="0" w:color="auto"/>
      </w:divBdr>
    </w:div>
    <w:div w:id="681129501">
      <w:bodyDiv w:val="1"/>
      <w:marLeft w:val="0"/>
      <w:marRight w:val="0"/>
      <w:marTop w:val="0"/>
      <w:marBottom w:val="0"/>
      <w:divBdr>
        <w:top w:val="none" w:sz="0" w:space="0" w:color="auto"/>
        <w:left w:val="none" w:sz="0" w:space="0" w:color="auto"/>
        <w:bottom w:val="none" w:sz="0" w:space="0" w:color="auto"/>
        <w:right w:val="none" w:sz="0" w:space="0" w:color="auto"/>
      </w:divBdr>
    </w:div>
    <w:div w:id="689530782">
      <w:bodyDiv w:val="1"/>
      <w:marLeft w:val="0"/>
      <w:marRight w:val="0"/>
      <w:marTop w:val="0"/>
      <w:marBottom w:val="0"/>
      <w:divBdr>
        <w:top w:val="none" w:sz="0" w:space="0" w:color="auto"/>
        <w:left w:val="none" w:sz="0" w:space="0" w:color="auto"/>
        <w:bottom w:val="none" w:sz="0" w:space="0" w:color="auto"/>
        <w:right w:val="none" w:sz="0" w:space="0" w:color="auto"/>
      </w:divBdr>
    </w:div>
    <w:div w:id="716659652">
      <w:bodyDiv w:val="1"/>
      <w:marLeft w:val="0"/>
      <w:marRight w:val="0"/>
      <w:marTop w:val="0"/>
      <w:marBottom w:val="0"/>
      <w:divBdr>
        <w:top w:val="none" w:sz="0" w:space="0" w:color="auto"/>
        <w:left w:val="none" w:sz="0" w:space="0" w:color="auto"/>
        <w:bottom w:val="none" w:sz="0" w:space="0" w:color="auto"/>
        <w:right w:val="none" w:sz="0" w:space="0" w:color="auto"/>
      </w:divBdr>
    </w:div>
    <w:div w:id="746147294">
      <w:bodyDiv w:val="1"/>
      <w:marLeft w:val="0"/>
      <w:marRight w:val="0"/>
      <w:marTop w:val="0"/>
      <w:marBottom w:val="0"/>
      <w:divBdr>
        <w:top w:val="none" w:sz="0" w:space="0" w:color="auto"/>
        <w:left w:val="none" w:sz="0" w:space="0" w:color="auto"/>
        <w:bottom w:val="none" w:sz="0" w:space="0" w:color="auto"/>
        <w:right w:val="none" w:sz="0" w:space="0" w:color="auto"/>
      </w:divBdr>
    </w:div>
    <w:div w:id="764157906">
      <w:bodyDiv w:val="1"/>
      <w:marLeft w:val="0"/>
      <w:marRight w:val="0"/>
      <w:marTop w:val="0"/>
      <w:marBottom w:val="0"/>
      <w:divBdr>
        <w:top w:val="none" w:sz="0" w:space="0" w:color="auto"/>
        <w:left w:val="none" w:sz="0" w:space="0" w:color="auto"/>
        <w:bottom w:val="none" w:sz="0" w:space="0" w:color="auto"/>
        <w:right w:val="none" w:sz="0" w:space="0" w:color="auto"/>
      </w:divBdr>
    </w:div>
    <w:div w:id="790973830">
      <w:bodyDiv w:val="1"/>
      <w:marLeft w:val="0"/>
      <w:marRight w:val="0"/>
      <w:marTop w:val="0"/>
      <w:marBottom w:val="0"/>
      <w:divBdr>
        <w:top w:val="none" w:sz="0" w:space="0" w:color="auto"/>
        <w:left w:val="none" w:sz="0" w:space="0" w:color="auto"/>
        <w:bottom w:val="none" w:sz="0" w:space="0" w:color="auto"/>
        <w:right w:val="none" w:sz="0" w:space="0" w:color="auto"/>
      </w:divBdr>
    </w:div>
    <w:div w:id="836653677">
      <w:bodyDiv w:val="1"/>
      <w:marLeft w:val="0"/>
      <w:marRight w:val="0"/>
      <w:marTop w:val="0"/>
      <w:marBottom w:val="0"/>
      <w:divBdr>
        <w:top w:val="none" w:sz="0" w:space="0" w:color="auto"/>
        <w:left w:val="none" w:sz="0" w:space="0" w:color="auto"/>
        <w:bottom w:val="none" w:sz="0" w:space="0" w:color="auto"/>
        <w:right w:val="none" w:sz="0" w:space="0" w:color="auto"/>
      </w:divBdr>
    </w:div>
    <w:div w:id="902370946">
      <w:bodyDiv w:val="1"/>
      <w:marLeft w:val="0"/>
      <w:marRight w:val="0"/>
      <w:marTop w:val="0"/>
      <w:marBottom w:val="0"/>
      <w:divBdr>
        <w:top w:val="none" w:sz="0" w:space="0" w:color="auto"/>
        <w:left w:val="none" w:sz="0" w:space="0" w:color="auto"/>
        <w:bottom w:val="none" w:sz="0" w:space="0" w:color="auto"/>
        <w:right w:val="none" w:sz="0" w:space="0" w:color="auto"/>
      </w:divBdr>
    </w:div>
    <w:div w:id="963661269">
      <w:bodyDiv w:val="1"/>
      <w:marLeft w:val="0"/>
      <w:marRight w:val="0"/>
      <w:marTop w:val="0"/>
      <w:marBottom w:val="0"/>
      <w:divBdr>
        <w:top w:val="none" w:sz="0" w:space="0" w:color="auto"/>
        <w:left w:val="none" w:sz="0" w:space="0" w:color="auto"/>
        <w:bottom w:val="none" w:sz="0" w:space="0" w:color="auto"/>
        <w:right w:val="none" w:sz="0" w:space="0" w:color="auto"/>
      </w:divBdr>
    </w:div>
    <w:div w:id="1007100622">
      <w:bodyDiv w:val="1"/>
      <w:marLeft w:val="0"/>
      <w:marRight w:val="0"/>
      <w:marTop w:val="0"/>
      <w:marBottom w:val="0"/>
      <w:divBdr>
        <w:top w:val="none" w:sz="0" w:space="0" w:color="auto"/>
        <w:left w:val="none" w:sz="0" w:space="0" w:color="auto"/>
        <w:bottom w:val="none" w:sz="0" w:space="0" w:color="auto"/>
        <w:right w:val="none" w:sz="0" w:space="0" w:color="auto"/>
      </w:divBdr>
    </w:div>
    <w:div w:id="1019502190">
      <w:bodyDiv w:val="1"/>
      <w:marLeft w:val="0"/>
      <w:marRight w:val="0"/>
      <w:marTop w:val="0"/>
      <w:marBottom w:val="0"/>
      <w:divBdr>
        <w:top w:val="none" w:sz="0" w:space="0" w:color="auto"/>
        <w:left w:val="none" w:sz="0" w:space="0" w:color="auto"/>
        <w:bottom w:val="none" w:sz="0" w:space="0" w:color="auto"/>
        <w:right w:val="none" w:sz="0" w:space="0" w:color="auto"/>
      </w:divBdr>
    </w:div>
    <w:div w:id="1027677670">
      <w:bodyDiv w:val="1"/>
      <w:marLeft w:val="0"/>
      <w:marRight w:val="0"/>
      <w:marTop w:val="0"/>
      <w:marBottom w:val="0"/>
      <w:divBdr>
        <w:top w:val="none" w:sz="0" w:space="0" w:color="auto"/>
        <w:left w:val="none" w:sz="0" w:space="0" w:color="auto"/>
        <w:bottom w:val="none" w:sz="0" w:space="0" w:color="auto"/>
        <w:right w:val="none" w:sz="0" w:space="0" w:color="auto"/>
      </w:divBdr>
    </w:div>
    <w:div w:id="1031421255">
      <w:bodyDiv w:val="1"/>
      <w:marLeft w:val="0"/>
      <w:marRight w:val="0"/>
      <w:marTop w:val="0"/>
      <w:marBottom w:val="0"/>
      <w:divBdr>
        <w:top w:val="none" w:sz="0" w:space="0" w:color="auto"/>
        <w:left w:val="none" w:sz="0" w:space="0" w:color="auto"/>
        <w:bottom w:val="none" w:sz="0" w:space="0" w:color="auto"/>
        <w:right w:val="none" w:sz="0" w:space="0" w:color="auto"/>
      </w:divBdr>
    </w:div>
    <w:div w:id="1036540678">
      <w:bodyDiv w:val="1"/>
      <w:marLeft w:val="0"/>
      <w:marRight w:val="0"/>
      <w:marTop w:val="0"/>
      <w:marBottom w:val="0"/>
      <w:divBdr>
        <w:top w:val="none" w:sz="0" w:space="0" w:color="auto"/>
        <w:left w:val="none" w:sz="0" w:space="0" w:color="auto"/>
        <w:bottom w:val="none" w:sz="0" w:space="0" w:color="auto"/>
        <w:right w:val="none" w:sz="0" w:space="0" w:color="auto"/>
      </w:divBdr>
      <w:divsChild>
        <w:div w:id="763572896">
          <w:marLeft w:val="0"/>
          <w:marRight w:val="0"/>
          <w:marTop w:val="0"/>
          <w:marBottom w:val="0"/>
          <w:divBdr>
            <w:top w:val="none" w:sz="0" w:space="0" w:color="auto"/>
            <w:left w:val="none" w:sz="0" w:space="0" w:color="auto"/>
            <w:bottom w:val="none" w:sz="0" w:space="0" w:color="auto"/>
            <w:right w:val="none" w:sz="0" w:space="0" w:color="auto"/>
          </w:divBdr>
          <w:divsChild>
            <w:div w:id="1365791741">
              <w:marLeft w:val="0"/>
              <w:marRight w:val="0"/>
              <w:marTop w:val="0"/>
              <w:marBottom w:val="0"/>
              <w:divBdr>
                <w:top w:val="none" w:sz="0" w:space="0" w:color="auto"/>
                <w:left w:val="none" w:sz="0" w:space="0" w:color="auto"/>
                <w:bottom w:val="none" w:sz="0" w:space="0" w:color="auto"/>
                <w:right w:val="none" w:sz="0" w:space="0" w:color="auto"/>
              </w:divBdr>
              <w:divsChild>
                <w:div w:id="31653953">
                  <w:marLeft w:val="0"/>
                  <w:marRight w:val="0"/>
                  <w:marTop w:val="0"/>
                  <w:marBottom w:val="0"/>
                  <w:divBdr>
                    <w:top w:val="none" w:sz="0" w:space="0" w:color="auto"/>
                    <w:left w:val="none" w:sz="0" w:space="0" w:color="auto"/>
                    <w:bottom w:val="none" w:sz="0" w:space="0" w:color="auto"/>
                    <w:right w:val="none" w:sz="0" w:space="0" w:color="auto"/>
                  </w:divBdr>
                  <w:divsChild>
                    <w:div w:id="17484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10423">
      <w:bodyDiv w:val="1"/>
      <w:marLeft w:val="0"/>
      <w:marRight w:val="0"/>
      <w:marTop w:val="0"/>
      <w:marBottom w:val="0"/>
      <w:divBdr>
        <w:top w:val="none" w:sz="0" w:space="0" w:color="auto"/>
        <w:left w:val="none" w:sz="0" w:space="0" w:color="auto"/>
        <w:bottom w:val="none" w:sz="0" w:space="0" w:color="auto"/>
        <w:right w:val="none" w:sz="0" w:space="0" w:color="auto"/>
      </w:divBdr>
      <w:divsChild>
        <w:div w:id="22942092">
          <w:marLeft w:val="0"/>
          <w:marRight w:val="0"/>
          <w:marTop w:val="0"/>
          <w:marBottom w:val="0"/>
          <w:divBdr>
            <w:top w:val="none" w:sz="0" w:space="0" w:color="auto"/>
            <w:left w:val="none" w:sz="0" w:space="0" w:color="auto"/>
            <w:bottom w:val="none" w:sz="0" w:space="0" w:color="auto"/>
            <w:right w:val="none" w:sz="0" w:space="0" w:color="auto"/>
          </w:divBdr>
          <w:divsChild>
            <w:div w:id="419982173">
              <w:marLeft w:val="0"/>
              <w:marRight w:val="0"/>
              <w:marTop w:val="0"/>
              <w:marBottom w:val="0"/>
              <w:divBdr>
                <w:top w:val="none" w:sz="0" w:space="0" w:color="auto"/>
                <w:left w:val="none" w:sz="0" w:space="0" w:color="auto"/>
                <w:bottom w:val="none" w:sz="0" w:space="0" w:color="auto"/>
                <w:right w:val="none" w:sz="0" w:space="0" w:color="auto"/>
              </w:divBdr>
              <w:divsChild>
                <w:div w:id="831867936">
                  <w:marLeft w:val="0"/>
                  <w:marRight w:val="0"/>
                  <w:marTop w:val="0"/>
                  <w:marBottom w:val="0"/>
                  <w:divBdr>
                    <w:top w:val="none" w:sz="0" w:space="0" w:color="auto"/>
                    <w:left w:val="none" w:sz="0" w:space="0" w:color="auto"/>
                    <w:bottom w:val="none" w:sz="0" w:space="0" w:color="auto"/>
                    <w:right w:val="none" w:sz="0" w:space="0" w:color="auto"/>
                  </w:divBdr>
                  <w:divsChild>
                    <w:div w:id="5266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613409">
      <w:bodyDiv w:val="1"/>
      <w:marLeft w:val="0"/>
      <w:marRight w:val="0"/>
      <w:marTop w:val="0"/>
      <w:marBottom w:val="0"/>
      <w:divBdr>
        <w:top w:val="none" w:sz="0" w:space="0" w:color="auto"/>
        <w:left w:val="none" w:sz="0" w:space="0" w:color="auto"/>
        <w:bottom w:val="none" w:sz="0" w:space="0" w:color="auto"/>
        <w:right w:val="none" w:sz="0" w:space="0" w:color="auto"/>
      </w:divBdr>
    </w:div>
    <w:div w:id="1178694012">
      <w:bodyDiv w:val="1"/>
      <w:marLeft w:val="0"/>
      <w:marRight w:val="0"/>
      <w:marTop w:val="0"/>
      <w:marBottom w:val="0"/>
      <w:divBdr>
        <w:top w:val="none" w:sz="0" w:space="0" w:color="auto"/>
        <w:left w:val="none" w:sz="0" w:space="0" w:color="auto"/>
        <w:bottom w:val="none" w:sz="0" w:space="0" w:color="auto"/>
        <w:right w:val="none" w:sz="0" w:space="0" w:color="auto"/>
      </w:divBdr>
    </w:div>
    <w:div w:id="1222213562">
      <w:bodyDiv w:val="1"/>
      <w:marLeft w:val="0"/>
      <w:marRight w:val="0"/>
      <w:marTop w:val="0"/>
      <w:marBottom w:val="0"/>
      <w:divBdr>
        <w:top w:val="none" w:sz="0" w:space="0" w:color="auto"/>
        <w:left w:val="none" w:sz="0" w:space="0" w:color="auto"/>
        <w:bottom w:val="none" w:sz="0" w:space="0" w:color="auto"/>
        <w:right w:val="none" w:sz="0" w:space="0" w:color="auto"/>
      </w:divBdr>
    </w:div>
    <w:div w:id="1231771687">
      <w:bodyDiv w:val="1"/>
      <w:marLeft w:val="0"/>
      <w:marRight w:val="0"/>
      <w:marTop w:val="0"/>
      <w:marBottom w:val="0"/>
      <w:divBdr>
        <w:top w:val="none" w:sz="0" w:space="0" w:color="auto"/>
        <w:left w:val="none" w:sz="0" w:space="0" w:color="auto"/>
        <w:bottom w:val="none" w:sz="0" w:space="0" w:color="auto"/>
        <w:right w:val="none" w:sz="0" w:space="0" w:color="auto"/>
      </w:divBdr>
    </w:div>
    <w:div w:id="1264192620">
      <w:bodyDiv w:val="1"/>
      <w:marLeft w:val="0"/>
      <w:marRight w:val="0"/>
      <w:marTop w:val="0"/>
      <w:marBottom w:val="0"/>
      <w:divBdr>
        <w:top w:val="none" w:sz="0" w:space="0" w:color="auto"/>
        <w:left w:val="none" w:sz="0" w:space="0" w:color="auto"/>
        <w:bottom w:val="none" w:sz="0" w:space="0" w:color="auto"/>
        <w:right w:val="none" w:sz="0" w:space="0" w:color="auto"/>
      </w:divBdr>
    </w:div>
    <w:div w:id="1323511069">
      <w:bodyDiv w:val="1"/>
      <w:marLeft w:val="0"/>
      <w:marRight w:val="0"/>
      <w:marTop w:val="0"/>
      <w:marBottom w:val="0"/>
      <w:divBdr>
        <w:top w:val="none" w:sz="0" w:space="0" w:color="auto"/>
        <w:left w:val="none" w:sz="0" w:space="0" w:color="auto"/>
        <w:bottom w:val="none" w:sz="0" w:space="0" w:color="auto"/>
        <w:right w:val="none" w:sz="0" w:space="0" w:color="auto"/>
      </w:divBdr>
    </w:div>
    <w:div w:id="1363701400">
      <w:bodyDiv w:val="1"/>
      <w:marLeft w:val="0"/>
      <w:marRight w:val="0"/>
      <w:marTop w:val="0"/>
      <w:marBottom w:val="0"/>
      <w:divBdr>
        <w:top w:val="none" w:sz="0" w:space="0" w:color="auto"/>
        <w:left w:val="none" w:sz="0" w:space="0" w:color="auto"/>
        <w:bottom w:val="none" w:sz="0" w:space="0" w:color="auto"/>
        <w:right w:val="none" w:sz="0" w:space="0" w:color="auto"/>
      </w:divBdr>
      <w:divsChild>
        <w:div w:id="248974826">
          <w:marLeft w:val="0"/>
          <w:marRight w:val="0"/>
          <w:marTop w:val="0"/>
          <w:marBottom w:val="0"/>
          <w:divBdr>
            <w:top w:val="none" w:sz="0" w:space="0" w:color="auto"/>
            <w:left w:val="none" w:sz="0" w:space="0" w:color="auto"/>
            <w:bottom w:val="none" w:sz="0" w:space="0" w:color="auto"/>
            <w:right w:val="none" w:sz="0" w:space="0" w:color="auto"/>
          </w:divBdr>
        </w:div>
        <w:div w:id="500125046">
          <w:marLeft w:val="0"/>
          <w:marRight w:val="0"/>
          <w:marTop w:val="0"/>
          <w:marBottom w:val="0"/>
          <w:divBdr>
            <w:top w:val="none" w:sz="0" w:space="0" w:color="auto"/>
            <w:left w:val="none" w:sz="0" w:space="0" w:color="auto"/>
            <w:bottom w:val="none" w:sz="0" w:space="0" w:color="auto"/>
            <w:right w:val="none" w:sz="0" w:space="0" w:color="auto"/>
          </w:divBdr>
        </w:div>
      </w:divsChild>
    </w:div>
    <w:div w:id="1409841494">
      <w:bodyDiv w:val="1"/>
      <w:marLeft w:val="0"/>
      <w:marRight w:val="0"/>
      <w:marTop w:val="0"/>
      <w:marBottom w:val="0"/>
      <w:divBdr>
        <w:top w:val="none" w:sz="0" w:space="0" w:color="auto"/>
        <w:left w:val="none" w:sz="0" w:space="0" w:color="auto"/>
        <w:bottom w:val="none" w:sz="0" w:space="0" w:color="auto"/>
        <w:right w:val="none" w:sz="0" w:space="0" w:color="auto"/>
      </w:divBdr>
    </w:div>
    <w:div w:id="1510027331">
      <w:bodyDiv w:val="1"/>
      <w:marLeft w:val="0"/>
      <w:marRight w:val="0"/>
      <w:marTop w:val="0"/>
      <w:marBottom w:val="0"/>
      <w:divBdr>
        <w:top w:val="none" w:sz="0" w:space="0" w:color="auto"/>
        <w:left w:val="none" w:sz="0" w:space="0" w:color="auto"/>
        <w:bottom w:val="none" w:sz="0" w:space="0" w:color="auto"/>
        <w:right w:val="none" w:sz="0" w:space="0" w:color="auto"/>
      </w:divBdr>
    </w:div>
    <w:div w:id="1546216070">
      <w:bodyDiv w:val="1"/>
      <w:marLeft w:val="0"/>
      <w:marRight w:val="0"/>
      <w:marTop w:val="0"/>
      <w:marBottom w:val="0"/>
      <w:divBdr>
        <w:top w:val="none" w:sz="0" w:space="0" w:color="auto"/>
        <w:left w:val="none" w:sz="0" w:space="0" w:color="auto"/>
        <w:bottom w:val="none" w:sz="0" w:space="0" w:color="auto"/>
        <w:right w:val="none" w:sz="0" w:space="0" w:color="auto"/>
      </w:divBdr>
    </w:div>
    <w:div w:id="1592590565">
      <w:bodyDiv w:val="1"/>
      <w:marLeft w:val="0"/>
      <w:marRight w:val="0"/>
      <w:marTop w:val="0"/>
      <w:marBottom w:val="0"/>
      <w:divBdr>
        <w:top w:val="none" w:sz="0" w:space="0" w:color="auto"/>
        <w:left w:val="none" w:sz="0" w:space="0" w:color="auto"/>
        <w:bottom w:val="none" w:sz="0" w:space="0" w:color="auto"/>
        <w:right w:val="none" w:sz="0" w:space="0" w:color="auto"/>
      </w:divBdr>
    </w:div>
    <w:div w:id="1672026030">
      <w:bodyDiv w:val="1"/>
      <w:marLeft w:val="0"/>
      <w:marRight w:val="0"/>
      <w:marTop w:val="0"/>
      <w:marBottom w:val="0"/>
      <w:divBdr>
        <w:top w:val="none" w:sz="0" w:space="0" w:color="auto"/>
        <w:left w:val="none" w:sz="0" w:space="0" w:color="auto"/>
        <w:bottom w:val="none" w:sz="0" w:space="0" w:color="auto"/>
        <w:right w:val="none" w:sz="0" w:space="0" w:color="auto"/>
      </w:divBdr>
      <w:divsChild>
        <w:div w:id="255210442">
          <w:marLeft w:val="0"/>
          <w:marRight w:val="0"/>
          <w:marTop w:val="0"/>
          <w:marBottom w:val="0"/>
          <w:divBdr>
            <w:top w:val="none" w:sz="0" w:space="0" w:color="auto"/>
            <w:left w:val="none" w:sz="0" w:space="0" w:color="auto"/>
            <w:bottom w:val="none" w:sz="0" w:space="0" w:color="auto"/>
            <w:right w:val="none" w:sz="0" w:space="0" w:color="auto"/>
          </w:divBdr>
          <w:divsChild>
            <w:div w:id="1638028761">
              <w:marLeft w:val="0"/>
              <w:marRight w:val="0"/>
              <w:marTop w:val="0"/>
              <w:marBottom w:val="0"/>
              <w:divBdr>
                <w:top w:val="none" w:sz="0" w:space="0" w:color="auto"/>
                <w:left w:val="none" w:sz="0" w:space="0" w:color="auto"/>
                <w:bottom w:val="none" w:sz="0" w:space="0" w:color="auto"/>
                <w:right w:val="none" w:sz="0" w:space="0" w:color="auto"/>
              </w:divBdr>
              <w:divsChild>
                <w:div w:id="135077392">
                  <w:marLeft w:val="0"/>
                  <w:marRight w:val="0"/>
                  <w:marTop w:val="0"/>
                  <w:marBottom w:val="0"/>
                  <w:divBdr>
                    <w:top w:val="none" w:sz="0" w:space="0" w:color="auto"/>
                    <w:left w:val="none" w:sz="0" w:space="0" w:color="auto"/>
                    <w:bottom w:val="none" w:sz="0" w:space="0" w:color="auto"/>
                    <w:right w:val="none" w:sz="0" w:space="0" w:color="auto"/>
                  </w:divBdr>
                  <w:divsChild>
                    <w:div w:id="16877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52532">
      <w:bodyDiv w:val="1"/>
      <w:marLeft w:val="0"/>
      <w:marRight w:val="0"/>
      <w:marTop w:val="0"/>
      <w:marBottom w:val="0"/>
      <w:divBdr>
        <w:top w:val="none" w:sz="0" w:space="0" w:color="auto"/>
        <w:left w:val="none" w:sz="0" w:space="0" w:color="auto"/>
        <w:bottom w:val="none" w:sz="0" w:space="0" w:color="auto"/>
        <w:right w:val="none" w:sz="0" w:space="0" w:color="auto"/>
      </w:divBdr>
      <w:divsChild>
        <w:div w:id="591743117">
          <w:marLeft w:val="0"/>
          <w:marRight w:val="0"/>
          <w:marTop w:val="0"/>
          <w:marBottom w:val="0"/>
          <w:divBdr>
            <w:top w:val="none" w:sz="0" w:space="0" w:color="auto"/>
            <w:left w:val="none" w:sz="0" w:space="0" w:color="auto"/>
            <w:bottom w:val="none" w:sz="0" w:space="0" w:color="auto"/>
            <w:right w:val="none" w:sz="0" w:space="0" w:color="auto"/>
          </w:divBdr>
          <w:divsChild>
            <w:div w:id="1271931831">
              <w:marLeft w:val="0"/>
              <w:marRight w:val="0"/>
              <w:marTop w:val="0"/>
              <w:marBottom w:val="0"/>
              <w:divBdr>
                <w:top w:val="none" w:sz="0" w:space="0" w:color="auto"/>
                <w:left w:val="none" w:sz="0" w:space="0" w:color="auto"/>
                <w:bottom w:val="none" w:sz="0" w:space="0" w:color="auto"/>
                <w:right w:val="none" w:sz="0" w:space="0" w:color="auto"/>
              </w:divBdr>
              <w:divsChild>
                <w:div w:id="1537965247">
                  <w:marLeft w:val="0"/>
                  <w:marRight w:val="0"/>
                  <w:marTop w:val="0"/>
                  <w:marBottom w:val="0"/>
                  <w:divBdr>
                    <w:top w:val="none" w:sz="0" w:space="0" w:color="auto"/>
                    <w:left w:val="none" w:sz="0" w:space="0" w:color="auto"/>
                    <w:bottom w:val="none" w:sz="0" w:space="0" w:color="auto"/>
                    <w:right w:val="none" w:sz="0" w:space="0" w:color="auto"/>
                  </w:divBdr>
                  <w:divsChild>
                    <w:div w:id="9740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11507">
      <w:bodyDiv w:val="1"/>
      <w:marLeft w:val="0"/>
      <w:marRight w:val="0"/>
      <w:marTop w:val="0"/>
      <w:marBottom w:val="0"/>
      <w:divBdr>
        <w:top w:val="none" w:sz="0" w:space="0" w:color="auto"/>
        <w:left w:val="none" w:sz="0" w:space="0" w:color="auto"/>
        <w:bottom w:val="none" w:sz="0" w:space="0" w:color="auto"/>
        <w:right w:val="none" w:sz="0" w:space="0" w:color="auto"/>
      </w:divBdr>
      <w:divsChild>
        <w:div w:id="751975137">
          <w:marLeft w:val="0"/>
          <w:marRight w:val="0"/>
          <w:marTop w:val="0"/>
          <w:marBottom w:val="0"/>
          <w:divBdr>
            <w:top w:val="none" w:sz="0" w:space="0" w:color="auto"/>
            <w:left w:val="none" w:sz="0" w:space="0" w:color="auto"/>
            <w:bottom w:val="none" w:sz="0" w:space="0" w:color="auto"/>
            <w:right w:val="none" w:sz="0" w:space="0" w:color="auto"/>
          </w:divBdr>
          <w:divsChild>
            <w:div w:id="202256202">
              <w:marLeft w:val="0"/>
              <w:marRight w:val="0"/>
              <w:marTop w:val="0"/>
              <w:marBottom w:val="0"/>
              <w:divBdr>
                <w:top w:val="none" w:sz="0" w:space="0" w:color="auto"/>
                <w:left w:val="none" w:sz="0" w:space="0" w:color="auto"/>
                <w:bottom w:val="none" w:sz="0" w:space="0" w:color="auto"/>
                <w:right w:val="none" w:sz="0" w:space="0" w:color="auto"/>
              </w:divBdr>
              <w:divsChild>
                <w:div w:id="841241112">
                  <w:marLeft w:val="0"/>
                  <w:marRight w:val="0"/>
                  <w:marTop w:val="0"/>
                  <w:marBottom w:val="0"/>
                  <w:divBdr>
                    <w:top w:val="none" w:sz="0" w:space="0" w:color="auto"/>
                    <w:left w:val="none" w:sz="0" w:space="0" w:color="auto"/>
                    <w:bottom w:val="none" w:sz="0" w:space="0" w:color="auto"/>
                    <w:right w:val="none" w:sz="0" w:space="0" w:color="auto"/>
                  </w:divBdr>
                  <w:divsChild>
                    <w:div w:id="15484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3551">
      <w:bodyDiv w:val="1"/>
      <w:marLeft w:val="0"/>
      <w:marRight w:val="0"/>
      <w:marTop w:val="0"/>
      <w:marBottom w:val="0"/>
      <w:divBdr>
        <w:top w:val="none" w:sz="0" w:space="0" w:color="auto"/>
        <w:left w:val="none" w:sz="0" w:space="0" w:color="auto"/>
        <w:bottom w:val="none" w:sz="0" w:space="0" w:color="auto"/>
        <w:right w:val="none" w:sz="0" w:space="0" w:color="auto"/>
      </w:divBdr>
    </w:div>
    <w:div w:id="1812483514">
      <w:bodyDiv w:val="1"/>
      <w:marLeft w:val="0"/>
      <w:marRight w:val="0"/>
      <w:marTop w:val="0"/>
      <w:marBottom w:val="0"/>
      <w:divBdr>
        <w:top w:val="none" w:sz="0" w:space="0" w:color="auto"/>
        <w:left w:val="none" w:sz="0" w:space="0" w:color="auto"/>
        <w:bottom w:val="none" w:sz="0" w:space="0" w:color="auto"/>
        <w:right w:val="none" w:sz="0" w:space="0" w:color="auto"/>
      </w:divBdr>
      <w:divsChild>
        <w:div w:id="264316026">
          <w:marLeft w:val="0"/>
          <w:marRight w:val="0"/>
          <w:marTop w:val="0"/>
          <w:marBottom w:val="0"/>
          <w:divBdr>
            <w:top w:val="none" w:sz="0" w:space="0" w:color="auto"/>
            <w:left w:val="none" w:sz="0" w:space="0" w:color="auto"/>
            <w:bottom w:val="none" w:sz="0" w:space="0" w:color="auto"/>
            <w:right w:val="none" w:sz="0" w:space="0" w:color="auto"/>
          </w:divBdr>
          <w:divsChild>
            <w:div w:id="1903057940">
              <w:marLeft w:val="0"/>
              <w:marRight w:val="0"/>
              <w:marTop w:val="0"/>
              <w:marBottom w:val="0"/>
              <w:divBdr>
                <w:top w:val="none" w:sz="0" w:space="0" w:color="auto"/>
                <w:left w:val="none" w:sz="0" w:space="0" w:color="auto"/>
                <w:bottom w:val="none" w:sz="0" w:space="0" w:color="auto"/>
                <w:right w:val="none" w:sz="0" w:space="0" w:color="auto"/>
              </w:divBdr>
              <w:divsChild>
                <w:div w:id="90250338">
                  <w:marLeft w:val="0"/>
                  <w:marRight w:val="0"/>
                  <w:marTop w:val="0"/>
                  <w:marBottom w:val="0"/>
                  <w:divBdr>
                    <w:top w:val="none" w:sz="0" w:space="0" w:color="auto"/>
                    <w:left w:val="none" w:sz="0" w:space="0" w:color="auto"/>
                    <w:bottom w:val="none" w:sz="0" w:space="0" w:color="auto"/>
                    <w:right w:val="none" w:sz="0" w:space="0" w:color="auto"/>
                  </w:divBdr>
                  <w:divsChild>
                    <w:div w:id="11788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73580">
      <w:bodyDiv w:val="1"/>
      <w:marLeft w:val="0"/>
      <w:marRight w:val="0"/>
      <w:marTop w:val="0"/>
      <w:marBottom w:val="0"/>
      <w:divBdr>
        <w:top w:val="none" w:sz="0" w:space="0" w:color="auto"/>
        <w:left w:val="none" w:sz="0" w:space="0" w:color="auto"/>
        <w:bottom w:val="none" w:sz="0" w:space="0" w:color="auto"/>
        <w:right w:val="none" w:sz="0" w:space="0" w:color="auto"/>
      </w:divBdr>
    </w:div>
    <w:div w:id="1951937660">
      <w:bodyDiv w:val="1"/>
      <w:marLeft w:val="0"/>
      <w:marRight w:val="0"/>
      <w:marTop w:val="0"/>
      <w:marBottom w:val="0"/>
      <w:divBdr>
        <w:top w:val="none" w:sz="0" w:space="0" w:color="auto"/>
        <w:left w:val="none" w:sz="0" w:space="0" w:color="auto"/>
        <w:bottom w:val="none" w:sz="0" w:space="0" w:color="auto"/>
        <w:right w:val="none" w:sz="0" w:space="0" w:color="auto"/>
      </w:divBdr>
    </w:div>
    <w:div w:id="1953244497">
      <w:bodyDiv w:val="1"/>
      <w:marLeft w:val="0"/>
      <w:marRight w:val="0"/>
      <w:marTop w:val="0"/>
      <w:marBottom w:val="0"/>
      <w:divBdr>
        <w:top w:val="none" w:sz="0" w:space="0" w:color="auto"/>
        <w:left w:val="none" w:sz="0" w:space="0" w:color="auto"/>
        <w:bottom w:val="none" w:sz="0" w:space="0" w:color="auto"/>
        <w:right w:val="none" w:sz="0" w:space="0" w:color="auto"/>
      </w:divBdr>
      <w:divsChild>
        <w:div w:id="1463645282">
          <w:marLeft w:val="0"/>
          <w:marRight w:val="0"/>
          <w:marTop w:val="0"/>
          <w:marBottom w:val="0"/>
          <w:divBdr>
            <w:top w:val="none" w:sz="0" w:space="0" w:color="auto"/>
            <w:left w:val="none" w:sz="0" w:space="0" w:color="auto"/>
            <w:bottom w:val="none" w:sz="0" w:space="0" w:color="auto"/>
            <w:right w:val="none" w:sz="0" w:space="0" w:color="auto"/>
          </w:divBdr>
          <w:divsChild>
            <w:div w:id="1552423727">
              <w:marLeft w:val="0"/>
              <w:marRight w:val="0"/>
              <w:marTop w:val="0"/>
              <w:marBottom w:val="0"/>
              <w:divBdr>
                <w:top w:val="none" w:sz="0" w:space="0" w:color="auto"/>
                <w:left w:val="none" w:sz="0" w:space="0" w:color="auto"/>
                <w:bottom w:val="none" w:sz="0" w:space="0" w:color="auto"/>
                <w:right w:val="none" w:sz="0" w:space="0" w:color="auto"/>
              </w:divBdr>
              <w:divsChild>
                <w:div w:id="170726527">
                  <w:marLeft w:val="0"/>
                  <w:marRight w:val="0"/>
                  <w:marTop w:val="0"/>
                  <w:marBottom w:val="0"/>
                  <w:divBdr>
                    <w:top w:val="none" w:sz="0" w:space="0" w:color="auto"/>
                    <w:left w:val="none" w:sz="0" w:space="0" w:color="auto"/>
                    <w:bottom w:val="none" w:sz="0" w:space="0" w:color="auto"/>
                    <w:right w:val="none" w:sz="0" w:space="0" w:color="auto"/>
                  </w:divBdr>
                  <w:divsChild>
                    <w:div w:id="14689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528974">
      <w:bodyDiv w:val="1"/>
      <w:marLeft w:val="0"/>
      <w:marRight w:val="0"/>
      <w:marTop w:val="0"/>
      <w:marBottom w:val="0"/>
      <w:divBdr>
        <w:top w:val="none" w:sz="0" w:space="0" w:color="auto"/>
        <w:left w:val="none" w:sz="0" w:space="0" w:color="auto"/>
        <w:bottom w:val="none" w:sz="0" w:space="0" w:color="auto"/>
        <w:right w:val="none" w:sz="0" w:space="0" w:color="auto"/>
      </w:divBdr>
    </w:div>
    <w:div w:id="1984500938">
      <w:bodyDiv w:val="1"/>
      <w:marLeft w:val="0"/>
      <w:marRight w:val="0"/>
      <w:marTop w:val="0"/>
      <w:marBottom w:val="0"/>
      <w:divBdr>
        <w:top w:val="none" w:sz="0" w:space="0" w:color="auto"/>
        <w:left w:val="none" w:sz="0" w:space="0" w:color="auto"/>
        <w:bottom w:val="none" w:sz="0" w:space="0" w:color="auto"/>
        <w:right w:val="none" w:sz="0" w:space="0" w:color="auto"/>
      </w:divBdr>
    </w:div>
    <w:div w:id="1989045723">
      <w:bodyDiv w:val="1"/>
      <w:marLeft w:val="0"/>
      <w:marRight w:val="0"/>
      <w:marTop w:val="0"/>
      <w:marBottom w:val="0"/>
      <w:divBdr>
        <w:top w:val="none" w:sz="0" w:space="0" w:color="auto"/>
        <w:left w:val="none" w:sz="0" w:space="0" w:color="auto"/>
        <w:bottom w:val="none" w:sz="0" w:space="0" w:color="auto"/>
        <w:right w:val="none" w:sz="0" w:space="0" w:color="auto"/>
      </w:divBdr>
    </w:div>
    <w:div w:id="2001617916">
      <w:bodyDiv w:val="1"/>
      <w:marLeft w:val="0"/>
      <w:marRight w:val="0"/>
      <w:marTop w:val="0"/>
      <w:marBottom w:val="0"/>
      <w:divBdr>
        <w:top w:val="none" w:sz="0" w:space="0" w:color="auto"/>
        <w:left w:val="none" w:sz="0" w:space="0" w:color="auto"/>
        <w:bottom w:val="none" w:sz="0" w:space="0" w:color="auto"/>
        <w:right w:val="none" w:sz="0" w:space="0" w:color="auto"/>
      </w:divBdr>
    </w:div>
    <w:div w:id="2122259040">
      <w:bodyDiv w:val="1"/>
      <w:marLeft w:val="0"/>
      <w:marRight w:val="0"/>
      <w:marTop w:val="0"/>
      <w:marBottom w:val="0"/>
      <w:divBdr>
        <w:top w:val="none" w:sz="0" w:space="0" w:color="auto"/>
        <w:left w:val="none" w:sz="0" w:space="0" w:color="auto"/>
        <w:bottom w:val="none" w:sz="0" w:space="0" w:color="auto"/>
        <w:right w:val="none" w:sz="0" w:space="0" w:color="auto"/>
      </w:divBdr>
    </w:div>
    <w:div w:id="214712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cid:image012.png@01D7D188.90E2F770" TargetMode="External"/><Relationship Id="rId26" Type="http://schemas.openxmlformats.org/officeDocument/2006/relationships/hyperlink" Target="https://www.coles.com.au/about-coles/sustainability/communities" TargetMode="External"/><Relationship Id="rId3" Type="http://schemas.openxmlformats.org/officeDocument/2006/relationships/customXml" Target="../customXml/item3.xml"/><Relationship Id="rId21" Type="http://schemas.openxmlformats.org/officeDocument/2006/relationships/hyperlink" Target="https://www.aihw.gov.au/reports/australias-health/indigenous-health-and-wellbeing" TargetMode="External"/><Relationship Id="rId34" Type="http://schemas.openxmlformats.org/officeDocument/2006/relationships/hyperlink" Target="https://doi.org/10.1111/1753-6405.12864"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www.ama.com.au/sites/default/files/documents/2018_AMA_Report_Card_on_Indigenous_Health_1.pdf" TargetMode="External"/><Relationship Id="rId33" Type="http://schemas.openxmlformats.org/officeDocument/2006/relationships/hyperlink" Target="file:///C:/Users/sarahtobias/Desktop/t/IRP/Woolworths%20Group%20Reflections%20(9%20June%202021).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aihw.gov.au/reports/injury/injury-indigenous-aus-transport-2010-11-2014-15/contents/table-of-contents" TargetMode="External"/><Relationship Id="rId29" Type="http://schemas.openxmlformats.org/officeDocument/2006/relationships/hyperlink" Target="https://www.health.gov.au/sites/default/files/foi-1076-review-of-the-roles-and-functions-of-naccho-and-the-state-territory-aboriginal-and-torres-strait-islander-health-peak-bodies-confidential-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iaa.gov.au/sites/default/files/publications/2017-health-performance-framework-report_1.pdf" TargetMode="External"/><Relationship Id="rId32" Type="http://schemas.openxmlformats.org/officeDocument/2006/relationships/hyperlink" Target="https://public-health.uq.edu.au/files/571/ACE-Prevention_final_report.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ihw.gov.au/reports/indigenous-australians/indigenous-primary-health-care-results-osr-nkpi/what-are-nkpis/introduction" TargetMode="External"/><Relationship Id="rId28" Type="http://schemas.openxmlformats.org/officeDocument/2006/relationships/hyperlink" Target="https://www.lowitja.org.au/content/Document/Lowitja-Publishing/Early-Childhood-web.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cem.org.au/getmedia/60763b10-1bf5-4fbc-a7e2-9fd58620d2cf/ACEM_report_41018" TargetMode="External"/><Relationship Id="rId31" Type="http://schemas.openxmlformats.org/officeDocument/2006/relationships/hyperlink" Target="https://www.pm.gov.au/media/commonwealths-closing-gap-implementation-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ndigenoushpf.gov.au/measures/1-23-leading-causes-mortality" TargetMode="External"/><Relationship Id="rId27" Type="http://schemas.openxmlformats.org/officeDocument/2006/relationships/hyperlink" Target="https://www.health.gov.au/sites/default/files/documents/2020/12/my-life-my-lead-report-on-the-national-consultations-my-life-my-lead-consultation-report.pdf" TargetMode="External"/><Relationship Id="rId30" Type="http://schemas.openxmlformats.org/officeDocument/2006/relationships/hyperlink" Target="https://www.pc.gov.au/closing-the-gap-data/annual-data-repor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Info xmlns="http://schemas.microsoft.com/office/infopath/2007/PartnerControls">
          <TermName xmlns="http://schemas.microsoft.com/office/infopath/2007/PartnerControls">National Cabinet</TermName>
          <TermId xmlns="http://schemas.microsoft.com/office/infopath/2007/PartnerControls">991895fa-80c6-46c0-9d54-97c9b975186a</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DOC22-56215</ShareHubID>
    <TaxCatchAll xmlns="166541c0-0594-4e6a-9105-c24d4b6de6f7">
      <Value>62</Value>
      <Value>18</Value>
      <Value>81</Value>
      <Value>29</Value>
      <Value>57</Value>
    </TaxCatchAll>
    <PMCNotes xmlns="166541c0-0594-4e6a-9105-c24d4b6de6f7" xsi:nil="true"/>
    <NonRecordJustification xmlns="685f9fda-bd71-4433-b331-92feb9553089">None</NonRecordJust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0C753-4E90-4FA6-997E-8B17DF2A4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FC270-B050-491F-8F45-9A2F8CB859E5}">
  <ds:schemaRefs>
    <ds:schemaRef ds:uri="http://purl.org/dc/terms/"/>
    <ds:schemaRef ds:uri="http://schemas.openxmlformats.org/package/2006/metadata/core-properties"/>
    <ds:schemaRef ds:uri="da203b8e-f6db-4c80-be02-18a325593d38"/>
    <ds:schemaRef ds:uri="http://purl.org/dc/dcmitype/"/>
    <ds:schemaRef ds:uri="http://schemas.microsoft.com/office/infopath/2007/PartnerControls"/>
    <ds:schemaRef ds:uri="830a17d1-4c12-4ee4-877d-b588812a74b3"/>
    <ds:schemaRef ds:uri="http://schemas.microsoft.com/office/2006/documentManagement/types"/>
    <ds:schemaRef ds:uri="http://purl.org/dc/elements/1.1/"/>
    <ds:schemaRef ds:uri="http://schemas.microsoft.com/office/2006/metadata/properties"/>
    <ds:schemaRef ds:uri="http://www.w3.org/XML/1998/namespace"/>
    <ds:schemaRef ds:uri="166541c0-0594-4e6a-9105-c24d4b6de6f7"/>
    <ds:schemaRef ds:uri="685f9fda-bd71-4433-b331-92feb9553089"/>
  </ds:schemaRefs>
</ds:datastoreItem>
</file>

<file path=customXml/itemProps3.xml><?xml version="1.0" encoding="utf-8"?>
<ds:datastoreItem xmlns:ds="http://schemas.openxmlformats.org/officeDocument/2006/customXml" ds:itemID="{5A68A16E-3BAA-42F8-A99D-822BDF769EEA}">
  <ds:schemaRefs>
    <ds:schemaRef ds:uri="http://schemas.microsoft.com/sharepoint/v3/contenttype/forms"/>
  </ds:schemaRefs>
</ds:datastoreItem>
</file>

<file path=customXml/itemProps4.xml><?xml version="1.0" encoding="utf-8"?>
<ds:datastoreItem xmlns:ds="http://schemas.openxmlformats.org/officeDocument/2006/customXml" ds:itemID="{BF745F5D-0ECA-4085-BF75-1C7B2BE9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11171</Words>
  <Characters>63675</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Sector Strengthening Plan: Health</vt:lpstr>
    </vt:vector>
  </TitlesOfParts>
  <Manager/>
  <Company/>
  <LinksUpToDate>false</LinksUpToDate>
  <CharactersWithSpaces>74697</CharactersWithSpaces>
  <SharedDoc>false</SharedDoc>
  <HLinks>
    <vt:vector size="150" baseType="variant">
      <vt:variant>
        <vt:i4>1703986</vt:i4>
      </vt:variant>
      <vt:variant>
        <vt:i4>104</vt:i4>
      </vt:variant>
      <vt:variant>
        <vt:i4>0</vt:i4>
      </vt:variant>
      <vt:variant>
        <vt:i4>5</vt:i4>
      </vt:variant>
      <vt:variant>
        <vt:lpwstr/>
      </vt:variant>
      <vt:variant>
        <vt:lpwstr>_Toc81579962</vt:lpwstr>
      </vt:variant>
      <vt:variant>
        <vt:i4>1638450</vt:i4>
      </vt:variant>
      <vt:variant>
        <vt:i4>98</vt:i4>
      </vt:variant>
      <vt:variant>
        <vt:i4>0</vt:i4>
      </vt:variant>
      <vt:variant>
        <vt:i4>5</vt:i4>
      </vt:variant>
      <vt:variant>
        <vt:lpwstr/>
      </vt:variant>
      <vt:variant>
        <vt:lpwstr>_Toc81579961</vt:lpwstr>
      </vt:variant>
      <vt:variant>
        <vt:i4>1572914</vt:i4>
      </vt:variant>
      <vt:variant>
        <vt:i4>92</vt:i4>
      </vt:variant>
      <vt:variant>
        <vt:i4>0</vt:i4>
      </vt:variant>
      <vt:variant>
        <vt:i4>5</vt:i4>
      </vt:variant>
      <vt:variant>
        <vt:lpwstr/>
      </vt:variant>
      <vt:variant>
        <vt:lpwstr>_Toc81579960</vt:lpwstr>
      </vt:variant>
      <vt:variant>
        <vt:i4>1114161</vt:i4>
      </vt:variant>
      <vt:variant>
        <vt:i4>86</vt:i4>
      </vt:variant>
      <vt:variant>
        <vt:i4>0</vt:i4>
      </vt:variant>
      <vt:variant>
        <vt:i4>5</vt:i4>
      </vt:variant>
      <vt:variant>
        <vt:lpwstr/>
      </vt:variant>
      <vt:variant>
        <vt:lpwstr>_Toc81579959</vt:lpwstr>
      </vt:variant>
      <vt:variant>
        <vt:i4>1048625</vt:i4>
      </vt:variant>
      <vt:variant>
        <vt:i4>80</vt:i4>
      </vt:variant>
      <vt:variant>
        <vt:i4>0</vt:i4>
      </vt:variant>
      <vt:variant>
        <vt:i4>5</vt:i4>
      </vt:variant>
      <vt:variant>
        <vt:lpwstr/>
      </vt:variant>
      <vt:variant>
        <vt:lpwstr>_Toc81579958</vt:lpwstr>
      </vt:variant>
      <vt:variant>
        <vt:i4>2031665</vt:i4>
      </vt:variant>
      <vt:variant>
        <vt:i4>74</vt:i4>
      </vt:variant>
      <vt:variant>
        <vt:i4>0</vt:i4>
      </vt:variant>
      <vt:variant>
        <vt:i4>5</vt:i4>
      </vt:variant>
      <vt:variant>
        <vt:lpwstr/>
      </vt:variant>
      <vt:variant>
        <vt:lpwstr>_Toc81579957</vt:lpwstr>
      </vt:variant>
      <vt:variant>
        <vt:i4>1966129</vt:i4>
      </vt:variant>
      <vt:variant>
        <vt:i4>68</vt:i4>
      </vt:variant>
      <vt:variant>
        <vt:i4>0</vt:i4>
      </vt:variant>
      <vt:variant>
        <vt:i4>5</vt:i4>
      </vt:variant>
      <vt:variant>
        <vt:lpwstr/>
      </vt:variant>
      <vt:variant>
        <vt:lpwstr>_Toc81579956</vt:lpwstr>
      </vt:variant>
      <vt:variant>
        <vt:i4>1900593</vt:i4>
      </vt:variant>
      <vt:variant>
        <vt:i4>62</vt:i4>
      </vt:variant>
      <vt:variant>
        <vt:i4>0</vt:i4>
      </vt:variant>
      <vt:variant>
        <vt:i4>5</vt:i4>
      </vt:variant>
      <vt:variant>
        <vt:lpwstr/>
      </vt:variant>
      <vt:variant>
        <vt:lpwstr>_Toc81579955</vt:lpwstr>
      </vt:variant>
      <vt:variant>
        <vt:i4>1835057</vt:i4>
      </vt:variant>
      <vt:variant>
        <vt:i4>56</vt:i4>
      </vt:variant>
      <vt:variant>
        <vt:i4>0</vt:i4>
      </vt:variant>
      <vt:variant>
        <vt:i4>5</vt:i4>
      </vt:variant>
      <vt:variant>
        <vt:lpwstr/>
      </vt:variant>
      <vt:variant>
        <vt:lpwstr>_Toc81579954</vt:lpwstr>
      </vt:variant>
      <vt:variant>
        <vt:i4>1769521</vt:i4>
      </vt:variant>
      <vt:variant>
        <vt:i4>50</vt:i4>
      </vt:variant>
      <vt:variant>
        <vt:i4>0</vt:i4>
      </vt:variant>
      <vt:variant>
        <vt:i4>5</vt:i4>
      </vt:variant>
      <vt:variant>
        <vt:lpwstr/>
      </vt:variant>
      <vt:variant>
        <vt:lpwstr>_Toc81579953</vt:lpwstr>
      </vt:variant>
      <vt:variant>
        <vt:i4>1703985</vt:i4>
      </vt:variant>
      <vt:variant>
        <vt:i4>44</vt:i4>
      </vt:variant>
      <vt:variant>
        <vt:i4>0</vt:i4>
      </vt:variant>
      <vt:variant>
        <vt:i4>5</vt:i4>
      </vt:variant>
      <vt:variant>
        <vt:lpwstr/>
      </vt:variant>
      <vt:variant>
        <vt:lpwstr>_Toc81579952</vt:lpwstr>
      </vt:variant>
      <vt:variant>
        <vt:i4>1638449</vt:i4>
      </vt:variant>
      <vt:variant>
        <vt:i4>38</vt:i4>
      </vt:variant>
      <vt:variant>
        <vt:i4>0</vt:i4>
      </vt:variant>
      <vt:variant>
        <vt:i4>5</vt:i4>
      </vt:variant>
      <vt:variant>
        <vt:lpwstr/>
      </vt:variant>
      <vt:variant>
        <vt:lpwstr>_Toc81579951</vt:lpwstr>
      </vt:variant>
      <vt:variant>
        <vt:i4>1572913</vt:i4>
      </vt:variant>
      <vt:variant>
        <vt:i4>32</vt:i4>
      </vt:variant>
      <vt:variant>
        <vt:i4>0</vt:i4>
      </vt:variant>
      <vt:variant>
        <vt:i4>5</vt:i4>
      </vt:variant>
      <vt:variant>
        <vt:lpwstr/>
      </vt:variant>
      <vt:variant>
        <vt:lpwstr>_Toc81579950</vt:lpwstr>
      </vt:variant>
      <vt:variant>
        <vt:i4>1114160</vt:i4>
      </vt:variant>
      <vt:variant>
        <vt:i4>26</vt:i4>
      </vt:variant>
      <vt:variant>
        <vt:i4>0</vt:i4>
      </vt:variant>
      <vt:variant>
        <vt:i4>5</vt:i4>
      </vt:variant>
      <vt:variant>
        <vt:lpwstr/>
      </vt:variant>
      <vt:variant>
        <vt:lpwstr>_Toc81579949</vt:lpwstr>
      </vt:variant>
      <vt:variant>
        <vt:i4>1048624</vt:i4>
      </vt:variant>
      <vt:variant>
        <vt:i4>20</vt:i4>
      </vt:variant>
      <vt:variant>
        <vt:i4>0</vt:i4>
      </vt:variant>
      <vt:variant>
        <vt:i4>5</vt:i4>
      </vt:variant>
      <vt:variant>
        <vt:lpwstr/>
      </vt:variant>
      <vt:variant>
        <vt:lpwstr>_Toc81579948</vt:lpwstr>
      </vt:variant>
      <vt:variant>
        <vt:i4>2031664</vt:i4>
      </vt:variant>
      <vt:variant>
        <vt:i4>14</vt:i4>
      </vt:variant>
      <vt:variant>
        <vt:i4>0</vt:i4>
      </vt:variant>
      <vt:variant>
        <vt:i4>5</vt:i4>
      </vt:variant>
      <vt:variant>
        <vt:lpwstr/>
      </vt:variant>
      <vt:variant>
        <vt:lpwstr>_Toc81579947</vt:lpwstr>
      </vt:variant>
      <vt:variant>
        <vt:i4>1966128</vt:i4>
      </vt:variant>
      <vt:variant>
        <vt:i4>8</vt:i4>
      </vt:variant>
      <vt:variant>
        <vt:i4>0</vt:i4>
      </vt:variant>
      <vt:variant>
        <vt:i4>5</vt:i4>
      </vt:variant>
      <vt:variant>
        <vt:lpwstr/>
      </vt:variant>
      <vt:variant>
        <vt:lpwstr>_Toc81579946</vt:lpwstr>
      </vt:variant>
      <vt:variant>
        <vt:i4>1900592</vt:i4>
      </vt:variant>
      <vt:variant>
        <vt:i4>2</vt:i4>
      </vt:variant>
      <vt:variant>
        <vt:i4>0</vt:i4>
      </vt:variant>
      <vt:variant>
        <vt:i4>5</vt:i4>
      </vt:variant>
      <vt:variant>
        <vt:lpwstr/>
      </vt:variant>
      <vt:variant>
        <vt:lpwstr>_Toc81579945</vt:lpwstr>
      </vt:variant>
      <vt:variant>
        <vt:i4>6488110</vt:i4>
      </vt:variant>
      <vt:variant>
        <vt:i4>18</vt:i4>
      </vt:variant>
      <vt:variant>
        <vt:i4>0</vt:i4>
      </vt:variant>
      <vt:variant>
        <vt:i4>5</vt:i4>
      </vt:variant>
      <vt:variant>
        <vt:lpwstr>http://www.familymatters.org.au/the-family-matters-report-2020</vt:lpwstr>
      </vt:variant>
      <vt:variant>
        <vt:lpwstr/>
      </vt:variant>
      <vt:variant>
        <vt:i4>3211307</vt:i4>
      </vt:variant>
      <vt:variant>
        <vt:i4>15</vt:i4>
      </vt:variant>
      <vt:variant>
        <vt:i4>0</vt:i4>
      </vt:variant>
      <vt:variant>
        <vt:i4>5</vt:i4>
      </vt:variant>
      <vt:variant>
        <vt:lpwstr>http://www.dcp.wa.gov.au/ChildrenInCare/Documents/ACCO Strategy to 2022.pdf</vt:lpwstr>
      </vt:variant>
      <vt:variant>
        <vt:lpwstr/>
      </vt:variant>
      <vt:variant>
        <vt:i4>1310828</vt:i4>
      </vt:variant>
      <vt:variant>
        <vt:i4>12</vt:i4>
      </vt:variant>
      <vt:variant>
        <vt:i4>0</vt:i4>
      </vt:variant>
      <vt:variant>
        <vt:i4>5</vt:i4>
      </vt:variant>
      <vt:variant>
        <vt:lpwstr>http://www.agd.sa.gov.au/sites/default/files/preface_summary_and_recommendations.pdf?v=1491456705</vt:lpwstr>
      </vt:variant>
      <vt:variant>
        <vt:lpwstr/>
      </vt:variant>
      <vt:variant>
        <vt:i4>8126566</vt:i4>
      </vt:variant>
      <vt:variant>
        <vt:i4>9</vt:i4>
      </vt:variant>
      <vt:variant>
        <vt:i4>0</vt:i4>
      </vt:variant>
      <vt:variant>
        <vt:i4>5</vt:i4>
      </vt:variant>
      <vt:variant>
        <vt:lpwstr>http://www.familyisculture.nsw.gov.au/</vt:lpwstr>
      </vt:variant>
      <vt:variant>
        <vt:lpwstr/>
      </vt:variant>
      <vt:variant>
        <vt:i4>852030</vt:i4>
      </vt:variant>
      <vt:variant>
        <vt:i4>6</vt:i4>
      </vt:variant>
      <vt:variant>
        <vt:i4>0</vt:i4>
      </vt:variant>
      <vt:variant>
        <vt:i4>5</vt:i4>
      </vt:variant>
      <vt:variant>
        <vt:lpwstr>http://www.dss.gov.au/sites/default/files/documents/11_2012/national_statutory_child_protection_analysis_oct_4.pdf</vt:lpwstr>
      </vt:variant>
      <vt:variant>
        <vt:lpwstr/>
      </vt:variant>
      <vt:variant>
        <vt:i4>3014665</vt:i4>
      </vt:variant>
      <vt:variant>
        <vt:i4>3</vt:i4>
      </vt:variant>
      <vt:variant>
        <vt:i4>0</vt:i4>
      </vt:variant>
      <vt:variant>
        <vt:i4>5</vt:i4>
      </vt:variant>
      <vt:variant>
        <vt:lpwstr>http://www.childprotectioninquiry.qld.gov.au/__data/assets/pdf_file/0006/175398/Chapter-8.pdf</vt:lpwstr>
      </vt:variant>
      <vt:variant>
        <vt:lpwstr/>
      </vt:variant>
      <vt:variant>
        <vt:i4>7471223</vt:i4>
      </vt:variant>
      <vt:variant>
        <vt:i4>0</vt:i4>
      </vt:variant>
      <vt:variant>
        <vt:i4>0</vt:i4>
      </vt:variant>
      <vt:variant>
        <vt:i4>5</vt:i4>
      </vt:variant>
      <vt:variant>
        <vt:lpwstr>http://www.dese.gov.au/uncategorised/resources/2016-national-early-childhood-education-and-care-workforce-census-report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Strengthening Plan: Health</dc:title>
  <dc:subject/>
  <dc:creator/>
  <cp:keywords/>
  <dc:description/>
  <cp:lastModifiedBy/>
  <cp:revision>1</cp:revision>
  <dcterms:created xsi:type="dcterms:W3CDTF">2022-02-23T21:38:00Z</dcterms:created>
  <dcterms:modified xsi:type="dcterms:W3CDTF">2022-10-03T01:34:00Z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57;#OFFICIAL|11463c70-78df-4e3b-b0ff-f66cd3cb26ec</vt:lpwstr>
  </property>
  <property fmtid="{D5CDD505-2E9C-101B-9397-08002B2CF9AE}" pid="4" name="ESearchTags">
    <vt:lpwstr>29;#Training|2f396fb6-baad-479d-8254-1550153bbe31;#62;#COVID-19|c1da604a-829f-435b-844b-fd97e09d1455;#81;#National Cabinet|991895fa-80c6-46c0-9d54-97c9b975186a;#18;#Cabinet|84cba657-17c1-4642-9e59-a0df180c2be5</vt:lpwstr>
  </property>
  <property fmtid="{D5CDD505-2E9C-101B-9397-08002B2CF9AE}" pid="5" name="PMC.ESearch.TagGeneratedTime">
    <vt:lpwstr>2022-03-07T15:23:28</vt:lpwstr>
  </property>
  <property fmtid="{D5CDD505-2E9C-101B-9397-08002B2CF9AE}" pid="6" name="HPRMSecurityCaveat">
    <vt:lpwstr/>
  </property>
</Properties>
</file>