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7DC6" w14:textId="745516FE" w:rsidR="006B0488" w:rsidRPr="00F61BF0" w:rsidRDefault="3223FEE6" w:rsidP="411FE44C">
      <w:pPr>
        <w:pStyle w:val="Heading1"/>
        <w:spacing w:before="120" w:after="240"/>
        <w:ind w:left="-426"/>
        <w:rPr>
          <w:sz w:val="32"/>
          <w:szCs w:val="32"/>
        </w:rPr>
      </w:pPr>
      <w:r w:rsidRPr="13D51B10">
        <w:rPr>
          <w:sz w:val="32"/>
          <w:szCs w:val="32"/>
        </w:rPr>
        <w:t xml:space="preserve">Joint Council </w:t>
      </w:r>
      <w:r w:rsidR="72905629" w:rsidRPr="13D51B10">
        <w:rPr>
          <w:sz w:val="32"/>
          <w:szCs w:val="32"/>
        </w:rPr>
        <w:t>R</w:t>
      </w:r>
      <w:r w:rsidRPr="13D51B10">
        <w:rPr>
          <w:sz w:val="32"/>
          <w:szCs w:val="32"/>
        </w:rPr>
        <w:t>esponse to the P</w:t>
      </w:r>
      <w:r w:rsidR="29771E72" w:rsidRPr="13D51B10">
        <w:rPr>
          <w:sz w:val="32"/>
          <w:szCs w:val="32"/>
        </w:rPr>
        <w:t xml:space="preserve">roductivity </w:t>
      </w:r>
      <w:r w:rsidRPr="13D51B10">
        <w:rPr>
          <w:sz w:val="32"/>
          <w:szCs w:val="32"/>
        </w:rPr>
        <w:t>C</w:t>
      </w:r>
      <w:r w:rsidR="4D6D32B7" w:rsidRPr="13D51B10">
        <w:rPr>
          <w:sz w:val="32"/>
          <w:szCs w:val="32"/>
        </w:rPr>
        <w:t>ommission</w:t>
      </w:r>
      <w:r w:rsidR="7C481BD6" w:rsidRPr="13D51B10">
        <w:rPr>
          <w:sz w:val="32"/>
          <w:szCs w:val="32"/>
        </w:rPr>
        <w:t>’s Recommendations in the</w:t>
      </w:r>
      <w:r w:rsidR="4526956E" w:rsidRPr="13D51B10">
        <w:rPr>
          <w:sz w:val="32"/>
          <w:szCs w:val="32"/>
        </w:rPr>
        <w:t xml:space="preserve"> Review</w:t>
      </w:r>
      <w:r w:rsidRPr="13D51B10">
        <w:rPr>
          <w:sz w:val="32"/>
          <w:szCs w:val="32"/>
        </w:rPr>
        <w:t xml:space="preserve"> </w:t>
      </w:r>
      <w:r w:rsidR="098E0A30" w:rsidRPr="13D51B10">
        <w:rPr>
          <w:sz w:val="32"/>
          <w:szCs w:val="32"/>
        </w:rPr>
        <w:t xml:space="preserve">of the National Agreement on Closing the Gap </w:t>
      </w:r>
      <w:r w:rsidR="00052C72" w:rsidRPr="13D51B10">
        <w:rPr>
          <w:sz w:val="32"/>
          <w:szCs w:val="32"/>
        </w:rPr>
        <w:t>Final Report</w:t>
      </w:r>
      <w:r w:rsidR="002229E8" w:rsidRPr="13D51B10">
        <w:rPr>
          <w:sz w:val="32"/>
          <w:szCs w:val="32"/>
        </w:rPr>
        <w:t xml:space="preserve"> 2024</w:t>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5"/>
        <w:gridCol w:w="3686"/>
      </w:tblGrid>
      <w:tr w:rsidR="004B58D1" w:rsidRPr="00C164C4" w14:paraId="35878345" w14:textId="77777777" w:rsidTr="000E03EC">
        <w:trPr>
          <w:trHeight w:val="300"/>
          <w:tblHeader/>
        </w:trPr>
        <w:tc>
          <w:tcPr>
            <w:tcW w:w="2694" w:type="dxa"/>
            <w:shd w:val="clear" w:color="auto" w:fill="034C75"/>
            <w:tcMar>
              <w:top w:w="80" w:type="dxa"/>
              <w:left w:w="80" w:type="dxa"/>
              <w:bottom w:w="80" w:type="dxa"/>
              <w:right w:w="80" w:type="dxa"/>
            </w:tcMar>
            <w:vAlign w:val="center"/>
            <w:hideMark/>
          </w:tcPr>
          <w:p w14:paraId="75DFE69A" w14:textId="77777777"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RECOMMENDATION</w:t>
            </w:r>
          </w:p>
        </w:tc>
        <w:tc>
          <w:tcPr>
            <w:tcW w:w="1417" w:type="dxa"/>
            <w:shd w:val="clear" w:color="auto" w:fill="034C75"/>
            <w:vAlign w:val="center"/>
          </w:tcPr>
          <w:p w14:paraId="299E86D7" w14:textId="77777777"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6945" w:type="dxa"/>
            <w:shd w:val="clear" w:color="auto" w:fill="034C75"/>
            <w:vAlign w:val="center"/>
          </w:tcPr>
          <w:p w14:paraId="41A79CBA" w14:textId="1F8F5B2F" w:rsidR="006076EB" w:rsidRPr="000E03EC" w:rsidRDefault="006076EB"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86" w:type="dxa"/>
            <w:shd w:val="clear" w:color="auto" w:fill="034C75"/>
            <w:vAlign w:val="center"/>
          </w:tcPr>
          <w:p w14:paraId="5634755E" w14:textId="77777777" w:rsidR="006076EB" w:rsidRPr="000E03EC" w:rsidRDefault="00643201" w:rsidP="000E03EC">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7710F7" w:rsidRPr="004B58D1" w14:paraId="4F9E5286" w14:textId="77777777" w:rsidTr="0090692C">
        <w:tc>
          <w:tcPr>
            <w:tcW w:w="14742" w:type="dxa"/>
            <w:gridSpan w:val="4"/>
            <w:tcMar>
              <w:top w:w="80" w:type="dxa"/>
              <w:left w:w="80" w:type="dxa"/>
              <w:bottom w:w="80" w:type="dxa"/>
              <w:right w:w="80" w:type="dxa"/>
            </w:tcMar>
          </w:tcPr>
          <w:p w14:paraId="3A14EB94" w14:textId="1F0EAA20" w:rsidR="007710F7" w:rsidRPr="004B58D1" w:rsidRDefault="007710F7" w:rsidP="007710F7">
            <w:pPr>
              <w:spacing w:after="0" w:line="276" w:lineRule="auto"/>
              <w:ind w:left="57" w:right="57"/>
              <w:rPr>
                <w:rFonts w:ascii="Calibri" w:eastAsia="Times New Roman" w:hAnsi="Calibri" w:cs="Calibri"/>
                <w:color w:val="000000" w:themeColor="text1"/>
                <w:lang w:eastAsia="en-AU"/>
              </w:rPr>
            </w:pPr>
            <w:r w:rsidRPr="00CC438D">
              <w:rPr>
                <w:rFonts w:ascii="Calibri" w:eastAsia="Times New Roman" w:hAnsi="Calibri" w:cs="Calibri"/>
                <w:b/>
                <w:bCs/>
                <w:color w:val="000000" w:themeColor="text1"/>
                <w:lang w:eastAsia="en-AU"/>
              </w:rPr>
              <w:t>NOTE</w:t>
            </w:r>
            <w:r>
              <w:rPr>
                <w:rFonts w:ascii="Calibri" w:eastAsia="Times New Roman" w:hAnsi="Calibri" w:cs="Calibri"/>
                <w:color w:val="000000" w:themeColor="text1"/>
                <w:lang w:eastAsia="en-AU"/>
              </w:rPr>
              <w:t xml:space="preserve"> On 20 June 2025, </w:t>
            </w:r>
            <w:r w:rsidRPr="00CC438D">
              <w:rPr>
                <w:rFonts w:ascii="Calibri" w:eastAsia="Times New Roman" w:hAnsi="Calibri" w:cs="Calibri"/>
                <w:color w:val="000000" w:themeColor="text1"/>
                <w:lang w:eastAsia="en-AU"/>
              </w:rPr>
              <w:t>Joint Council agreed to publish its response to the Productivity Commission Review; Queensland noted the recommendation and advised the matter was under consideration</w:t>
            </w:r>
            <w:r>
              <w:rPr>
                <w:rFonts w:ascii="Calibri" w:eastAsia="Times New Roman" w:hAnsi="Calibri" w:cs="Calibri"/>
                <w:color w:val="000000" w:themeColor="text1"/>
                <w:lang w:eastAsia="en-AU"/>
              </w:rPr>
              <w:t xml:space="preserve">. </w:t>
            </w:r>
            <w:hyperlink r:id="rId13" w:history="1">
              <w:r w:rsidRPr="00321C01">
                <w:rPr>
                  <w:rStyle w:val="Hyperlink"/>
                  <w:rFonts w:ascii="Calibri" w:eastAsia="Times New Roman" w:hAnsi="Calibri" w:cs="Calibri"/>
                  <w:color w:val="015E8A" w:themeColor="text2" w:themeTint="E6"/>
                  <w:lang w:eastAsia="en-AU"/>
                </w:rPr>
                <w:t>Joint Council on Closing the Gap</w:t>
              </w:r>
              <w:r w:rsidR="003066F3">
                <w:rPr>
                  <w:rStyle w:val="Hyperlink"/>
                  <w:rFonts w:ascii="Calibri" w:eastAsia="Times New Roman" w:hAnsi="Calibri" w:cs="Calibri"/>
                  <w:color w:val="015E8A" w:themeColor="text2" w:themeTint="E6"/>
                  <w:lang w:eastAsia="en-AU"/>
                </w:rPr>
                <w:t xml:space="preserve"> Communiq</w:t>
              </w:r>
              <w:r w:rsidR="003066F3">
                <w:rPr>
                  <w:rStyle w:val="Hyperlink"/>
                  <w:rFonts w:ascii="Calibri" w:eastAsia="Times New Roman" w:hAnsi="Calibri" w:cs="Calibri"/>
                  <w:color w:val="015E8A" w:themeColor="text2" w:themeTint="E6"/>
                  <w:lang w:eastAsia="en-AU"/>
                </w:rPr>
                <w:t>u</w:t>
              </w:r>
              <w:r w:rsidR="003066F3">
                <w:rPr>
                  <w:rStyle w:val="Hyperlink"/>
                  <w:rFonts w:ascii="Calibri" w:eastAsia="Times New Roman" w:hAnsi="Calibri" w:cs="Calibri"/>
                  <w:color w:val="015E8A" w:themeColor="text2" w:themeTint="E6"/>
                  <w:lang w:eastAsia="en-AU"/>
                </w:rPr>
                <w:t>e</w:t>
              </w:r>
              <w:r w:rsidRPr="00321C01">
                <w:rPr>
                  <w:rStyle w:val="Hyperlink"/>
                  <w:rFonts w:ascii="Calibri" w:eastAsia="Times New Roman" w:hAnsi="Calibri" w:cs="Calibri"/>
                  <w:color w:val="015E8A" w:themeColor="text2" w:themeTint="E6"/>
                  <w:lang w:eastAsia="en-AU"/>
                </w:rPr>
                <w:t xml:space="preserve"> </w:t>
              </w:r>
              <w:r w:rsidR="00934A51">
                <w:rPr>
                  <w:rStyle w:val="Hyperlink"/>
                  <w:rFonts w:ascii="Calibri" w:eastAsia="Times New Roman" w:hAnsi="Calibri" w:cs="Calibri"/>
                  <w:color w:val="015E8A" w:themeColor="text2" w:themeTint="E6"/>
                  <w:lang w:eastAsia="en-AU"/>
                </w:rPr>
                <w:t xml:space="preserve">20 June 2025 </w:t>
              </w:r>
              <w:r w:rsidRPr="00321C01">
                <w:rPr>
                  <w:rStyle w:val="Hyperlink"/>
                  <w:rFonts w:ascii="Calibri" w:eastAsia="Times New Roman" w:hAnsi="Calibri" w:cs="Calibri"/>
                  <w:color w:val="015E8A" w:themeColor="text2" w:themeTint="E6"/>
                  <w:lang w:eastAsia="en-AU"/>
                </w:rPr>
                <w:t>| Closin</w:t>
              </w:r>
              <w:r w:rsidRPr="00321C01">
                <w:rPr>
                  <w:rStyle w:val="Hyperlink"/>
                  <w:rFonts w:ascii="Calibri" w:eastAsia="Times New Roman" w:hAnsi="Calibri" w:cs="Calibri"/>
                  <w:color w:val="015E8A" w:themeColor="text2" w:themeTint="E6"/>
                  <w:lang w:eastAsia="en-AU"/>
                </w:rPr>
                <w:t>g</w:t>
              </w:r>
              <w:r w:rsidRPr="00321C01">
                <w:rPr>
                  <w:rStyle w:val="Hyperlink"/>
                  <w:rFonts w:ascii="Calibri" w:eastAsia="Times New Roman" w:hAnsi="Calibri" w:cs="Calibri"/>
                  <w:color w:val="015E8A" w:themeColor="text2" w:themeTint="E6"/>
                  <w:lang w:eastAsia="en-AU"/>
                </w:rPr>
                <w:t xml:space="preserve"> the Gap</w:t>
              </w:r>
            </w:hyperlink>
          </w:p>
        </w:tc>
      </w:tr>
      <w:tr w:rsidR="00517F17" w:rsidRPr="004B58D1" w14:paraId="3F3F8820" w14:textId="77777777" w:rsidTr="00EA5B65">
        <w:trPr>
          <w:trHeight w:val="309"/>
        </w:trPr>
        <w:tc>
          <w:tcPr>
            <w:tcW w:w="2694" w:type="dxa"/>
            <w:tcMar>
              <w:top w:w="80" w:type="dxa"/>
              <w:left w:w="80" w:type="dxa"/>
              <w:bottom w:w="80" w:type="dxa"/>
              <w:right w:w="80" w:type="dxa"/>
            </w:tcMar>
            <w:hideMark/>
          </w:tcPr>
          <w:p w14:paraId="2AC3CC07" w14:textId="77777777" w:rsidR="00517F17" w:rsidRPr="004B58D1" w:rsidRDefault="00517F17" w:rsidP="00FA76C7">
            <w:pPr>
              <w:pStyle w:val="ListParagraph"/>
              <w:numPr>
                <w:ilvl w:val="1"/>
                <w:numId w:val="8"/>
              </w:numPr>
              <w:spacing w:before="120" w:line="276" w:lineRule="auto"/>
              <w:ind w:right="20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Amend the Agreement to clarify the purpose and broaden the scope of Priority Reform One (PR 1)</w:t>
            </w:r>
          </w:p>
        </w:tc>
        <w:tc>
          <w:tcPr>
            <w:tcW w:w="1417" w:type="dxa"/>
          </w:tcPr>
          <w:p w14:paraId="3476F9D7"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535B8A04"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agree to develop amendments to the National Agreement to clarify the purpose and broaden the scope of Priority Reform One.</w:t>
            </w:r>
          </w:p>
          <w:p w14:paraId="79CA9E48"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Joint Council tasks Partnership Working Group with developing proposed amendments and recommended timing for progressing the amendments. </w:t>
            </w:r>
          </w:p>
          <w:p w14:paraId="6D272065"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 developing the proposed amendments, Partnership Working Group will consider:  </w:t>
            </w:r>
          </w:p>
          <w:p w14:paraId="1112C6CB" w14:textId="77777777" w:rsidR="00517F17" w:rsidRPr="004B58D1" w:rsidRDefault="00517F17"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outcomes of the Aboriginal and Torres Strait Islander-led review of the National Agreement, including recommendations from the Aboriginal and Torres Strait Islander Assembly on Closing the Gap.</w:t>
            </w:r>
          </w:p>
          <w:p w14:paraId="18611637" w14:textId="77777777" w:rsidR="00517F17" w:rsidRPr="004B58D1" w:rsidRDefault="00517F17"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requirement to review parts of the National Agreement in 2025.  </w:t>
            </w:r>
          </w:p>
          <w:p w14:paraId="5F9E05DC"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that jurisdictions will seek endorsement of the proposed amendments, once developed, through their jurisdictional approval processes. </w:t>
            </w:r>
          </w:p>
          <w:p w14:paraId="4C53A682"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National Agreement on Closing the Gap (National Agreement) provides for a full range of partnerships </w:t>
            </w:r>
            <w:proofErr w:type="gramStart"/>
            <w:r w:rsidRPr="004B58D1">
              <w:rPr>
                <w:rFonts w:ascii="Calibri" w:eastAsia="Times New Roman" w:hAnsi="Calibri" w:cs="Calibri"/>
                <w:color w:val="000000" w:themeColor="text1"/>
                <w:lang w:eastAsia="en-AU"/>
              </w:rPr>
              <w:t>in an effort to</w:t>
            </w:r>
            <w:proofErr w:type="gramEnd"/>
            <w:r w:rsidRPr="004B58D1">
              <w:rPr>
                <w:rFonts w:ascii="Calibri" w:eastAsia="Times New Roman" w:hAnsi="Calibri" w:cs="Calibri"/>
                <w:color w:val="000000" w:themeColor="text1"/>
                <w:lang w:eastAsia="en-AU"/>
              </w:rPr>
              <w:t xml:space="preserve"> embed self-determination. </w:t>
            </w:r>
          </w:p>
          <w:p w14:paraId="40279E0C" w14:textId="77777777" w:rsidR="00517F17" w:rsidRPr="004B58D1" w:rsidRDefault="00517F17" w:rsidP="00FA76C7">
            <w:pPr>
              <w:shd w:val="clear" w:color="auto" w:fill="FFFFFF"/>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agree that action under Priority Reform One is not limited to partnerships on set policy areas and places as implied in the National Agreement (Clause 41). The National Agreement in its current form does not limit governments in this respect.</w:t>
            </w:r>
          </w:p>
          <w:p w14:paraId="4AE6FD83"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the jurisdictional commitments under Priority Reform One (Clause 28, 29, 34 and 35), to build and strengthen structures that empower Aboriginal and </w:t>
            </w:r>
            <w:r w:rsidRPr="004B58D1">
              <w:rPr>
                <w:rFonts w:ascii="Calibri" w:eastAsia="Times New Roman" w:hAnsi="Calibri" w:cs="Calibri"/>
                <w:color w:val="000000" w:themeColor="text1"/>
                <w:lang w:eastAsia="en-AU"/>
              </w:rPr>
              <w:lastRenderedPageBreak/>
              <w:t>Torres Strait Islander people to share decision-making authority with governments to accelerate policy and place-based progress against Closing the Gap.</w:t>
            </w:r>
          </w:p>
          <w:p w14:paraId="6462B558" w14:textId="02E217EA" w:rsidR="00AE4376" w:rsidRPr="004B58D1" w:rsidRDefault="00517F17" w:rsidP="00E47650">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will refocus efforts on the Strong Partnership Elements (Clauses 32 and 33</w:t>
            </w:r>
            <w:proofErr w:type="gramStart"/>
            <w:r w:rsidRPr="004B58D1">
              <w:rPr>
                <w:rFonts w:ascii="Calibri" w:eastAsia="Times New Roman" w:hAnsi="Calibri" w:cs="Calibri"/>
                <w:color w:val="000000" w:themeColor="text1"/>
                <w:lang w:eastAsia="en-AU"/>
              </w:rPr>
              <w:t>)</w:t>
            </w:r>
            <w:proofErr w:type="gramEnd"/>
            <w:r w:rsidRPr="004B58D1">
              <w:rPr>
                <w:rFonts w:ascii="Calibri" w:eastAsia="Times New Roman" w:hAnsi="Calibri" w:cs="Calibri"/>
                <w:color w:val="000000" w:themeColor="text1"/>
                <w:lang w:eastAsia="en-AU"/>
              </w:rPr>
              <w:t xml:space="preserve"> so they are fully met in earnest. </w:t>
            </w:r>
          </w:p>
        </w:tc>
        <w:tc>
          <w:tcPr>
            <w:tcW w:w="3686" w:type="dxa"/>
          </w:tcPr>
          <w:p w14:paraId="39D3E8DB"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Partnership Working Group will provide advice to Joint Council regarding proposed amendments and timing in 2025, following the completion of the Aboriginal and Torres Strait Islander-led Review. </w:t>
            </w:r>
          </w:p>
          <w:p w14:paraId="1198E504" w14:textId="77777777" w:rsidR="00517F17" w:rsidRPr="004B58D1"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Actions taken by governments in line with the Strong Partnership Elements and 2023 Partnership Stocktake will be reported by Aboriginal and Torres Strait Islander partners through to Partnership Working Group and 2024/25 Joint Council meetings. </w:t>
            </w:r>
          </w:p>
          <w:p w14:paraId="74E88AF3" w14:textId="0108F962" w:rsidR="00517F17" w:rsidRDefault="00517F1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Partnership Working Group will monitor progress made by governments to implement the Strong Partnership Elements. </w:t>
            </w:r>
          </w:p>
          <w:p w14:paraId="62CDD7DC" w14:textId="77777777" w:rsidR="00EA5B65" w:rsidRPr="004B58D1" w:rsidRDefault="00EA5B65" w:rsidP="00FA76C7">
            <w:pPr>
              <w:spacing w:before="120" w:line="276" w:lineRule="auto"/>
              <w:ind w:left="57" w:right="113"/>
              <w:rPr>
                <w:rFonts w:ascii="Calibri" w:eastAsia="Times New Roman" w:hAnsi="Calibri" w:cs="Calibri"/>
                <w:color w:val="000000" w:themeColor="text1"/>
                <w:lang w:eastAsia="en-AU"/>
              </w:rPr>
            </w:pPr>
          </w:p>
          <w:p w14:paraId="182785AA" w14:textId="3CBBFB5E" w:rsidR="00744827" w:rsidRPr="004B58D1" w:rsidRDefault="00744827" w:rsidP="00183E14">
            <w:pPr>
              <w:spacing w:before="120" w:line="276" w:lineRule="auto"/>
              <w:ind w:right="113"/>
              <w:rPr>
                <w:rFonts w:ascii="Calibri" w:eastAsia="Times New Roman" w:hAnsi="Calibri" w:cs="Calibri"/>
                <w:color w:val="000000" w:themeColor="text1"/>
                <w:lang w:eastAsia="en-AU"/>
              </w:rPr>
            </w:pPr>
          </w:p>
        </w:tc>
      </w:tr>
      <w:tr w:rsidR="00517F17" w:rsidRPr="004B58D1" w14:paraId="297550D7" w14:textId="77777777" w:rsidTr="00397837">
        <w:trPr>
          <w:trHeight w:val="876"/>
        </w:trPr>
        <w:tc>
          <w:tcPr>
            <w:tcW w:w="2694" w:type="dxa"/>
            <w:tcMar>
              <w:top w:w="80" w:type="dxa"/>
              <w:left w:w="80" w:type="dxa"/>
              <w:bottom w:w="80" w:type="dxa"/>
              <w:right w:w="80" w:type="dxa"/>
            </w:tcMar>
            <w:hideMark/>
          </w:tcPr>
          <w:p w14:paraId="03560467"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Governments treating ACCOs as essential partners in program and service design and delivery, not simply as funding recipients</w:t>
            </w:r>
          </w:p>
        </w:tc>
        <w:tc>
          <w:tcPr>
            <w:tcW w:w="1417" w:type="dxa"/>
          </w:tcPr>
          <w:p w14:paraId="15F38F8E"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5" w:type="dxa"/>
          </w:tcPr>
          <w:p w14:paraId="3BD6ED8A"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Parties agree that governments must place a greater emphasis on recognising that Aboriginal and Torres Strait Islander community-controlled organisations (ACCOs) have knowledge, expertise and connection to community that governments, and other organisations often engaged by governments to support Closing the Gap, do not have.</w:t>
            </w:r>
          </w:p>
          <w:p w14:paraId="3F638E64"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This means when partnering with Peaks and other Aboriginal and Torres Strait Islander representatives, governments will change their approach to allow adequate time for genuine engagement and responses having regard to the specific context; and provide adequate funding in recognition of the time away from front-line service delivery for Aboriginal and Torres Strait Islander people. </w:t>
            </w:r>
          </w:p>
          <w:p w14:paraId="695A6233" w14:textId="77777777" w:rsidR="005D3970" w:rsidRPr="004B58D1" w:rsidRDefault="005D3970"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Governments will engage with jurisdictional Peaks on matters that impact Aboriginal and Torres Strait Islander communities in instances which require rapid policy responses, emergencies and natural disasters (Clause 64).</w:t>
            </w:r>
          </w:p>
          <w:p w14:paraId="4B76307E"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w:t>
            </w:r>
          </w:p>
          <w:p w14:paraId="102F362E" w14:textId="77777777" w:rsidR="00517F17" w:rsidRPr="004B58D1" w:rsidRDefault="00517F17" w:rsidP="00FA76C7">
            <w:pPr>
              <w:pStyle w:val="ListParagraph"/>
              <w:numPr>
                <w:ilvl w:val="0"/>
                <w:numId w:val="12"/>
              </w:numPr>
              <w:spacing w:before="120" w:line="276" w:lineRule="auto"/>
              <w:ind w:left="418" w:right="113" w:hanging="284"/>
              <w:contextualSpacing w:val="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engage </w:t>
            </w:r>
            <w:r w:rsidR="00E557A6" w:rsidRPr="004B58D1">
              <w:rPr>
                <w:rFonts w:ascii="Calibri" w:eastAsia="Times New Roman" w:hAnsi="Calibri" w:cs="Calibri"/>
                <w:color w:val="000000" w:themeColor="text1"/>
                <w:lang w:eastAsia="en-AU"/>
              </w:rPr>
              <w:t xml:space="preserve">early with </w:t>
            </w:r>
            <w:r w:rsidRPr="004B58D1">
              <w:rPr>
                <w:rFonts w:ascii="Calibri" w:eastAsia="Times New Roman" w:hAnsi="Calibri" w:cs="Calibri"/>
                <w:color w:val="000000" w:themeColor="text1"/>
                <w:lang w:eastAsia="en-AU"/>
              </w:rPr>
              <w:t xml:space="preserve">Peaks and other relevant ACCOs in the </w:t>
            </w:r>
            <w:r w:rsidR="00E557A6" w:rsidRPr="004B58D1">
              <w:rPr>
                <w:rFonts w:ascii="Calibri" w:eastAsia="Times New Roman" w:hAnsi="Calibri" w:cs="Calibri"/>
                <w:color w:val="000000" w:themeColor="text1"/>
                <w:lang w:eastAsia="en-AU"/>
              </w:rPr>
              <w:t>co-</w:t>
            </w:r>
            <w:r w:rsidRPr="004B58D1">
              <w:rPr>
                <w:rFonts w:ascii="Calibri" w:eastAsia="Times New Roman" w:hAnsi="Calibri" w:cs="Calibri"/>
                <w:color w:val="000000" w:themeColor="text1"/>
                <w:lang w:eastAsia="en-AU"/>
              </w:rPr>
              <w:t>design of programs which support Aboriginal and Torres Strait Islander communities</w:t>
            </w:r>
          </w:p>
          <w:p w14:paraId="676017AE" w14:textId="77777777" w:rsidR="00E47650" w:rsidRDefault="00517F17" w:rsidP="00E47650">
            <w:pPr>
              <w:pStyle w:val="ListParagraph"/>
              <w:numPr>
                <w:ilvl w:val="0"/>
                <w:numId w:val="12"/>
              </w:numPr>
              <w:spacing w:before="120" w:line="276" w:lineRule="auto"/>
              <w:ind w:left="418" w:right="113" w:hanging="284"/>
              <w:contextualSpacing w:val="0"/>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adequately resource the Coalition of Peaks, including jurisdictional Peaks, as active partners to the National Agreement in recognition of the effort, time, knowledge</w:t>
            </w:r>
            <w:r w:rsidR="00DB70B2" w:rsidRPr="004B58D1">
              <w:rPr>
                <w:rFonts w:ascii="Calibri" w:eastAsia="Times New Roman" w:hAnsi="Calibri" w:cs="Calibri"/>
                <w:color w:val="000000" w:themeColor="text1"/>
                <w:lang w:eastAsia="en-AU"/>
              </w:rPr>
              <w:t>s</w:t>
            </w:r>
            <w:r w:rsidRPr="004B58D1">
              <w:rPr>
                <w:rFonts w:ascii="Calibri" w:eastAsia="Times New Roman" w:hAnsi="Calibri" w:cs="Calibri"/>
                <w:color w:val="000000" w:themeColor="text1"/>
                <w:lang w:eastAsia="en-AU"/>
              </w:rPr>
              <w:t xml:space="preserve"> and expertise in implementation of the National Agreement. This should be extended to all Aboriginal and Torres Strait Islander people and organisations working with governments as set out under the Strong Partnership Elements (Clause 32)</w:t>
            </w:r>
          </w:p>
          <w:p w14:paraId="35FC06BA" w14:textId="0BFC4141" w:rsidR="00517F17" w:rsidRPr="00E47650" w:rsidRDefault="00517F17" w:rsidP="00397837">
            <w:pPr>
              <w:pStyle w:val="ListParagraph"/>
              <w:numPr>
                <w:ilvl w:val="0"/>
                <w:numId w:val="12"/>
              </w:numPr>
              <w:spacing w:before="120" w:after="0" w:line="276" w:lineRule="auto"/>
              <w:ind w:left="420" w:right="113" w:hanging="284"/>
              <w:contextualSpacing w:val="0"/>
              <w:rPr>
                <w:rFonts w:ascii="Calibri" w:eastAsia="Times New Roman" w:hAnsi="Calibri" w:cs="Calibri"/>
                <w:color w:val="000000" w:themeColor="text1"/>
                <w:lang w:eastAsia="en-AU"/>
              </w:rPr>
            </w:pPr>
            <w:r w:rsidRPr="00E47650">
              <w:rPr>
                <w:rFonts w:ascii="Calibri" w:eastAsia="Times New Roman" w:hAnsi="Calibri" w:cs="Calibri"/>
                <w:color w:val="000000" w:themeColor="text1"/>
                <w:lang w:eastAsia="en-AU"/>
              </w:rPr>
              <w:lastRenderedPageBreak/>
              <w:t>require public sector employees to have cultural capability and to build relationships with Aboriginal and Torres Strait Islander people and organisations.</w:t>
            </w:r>
          </w:p>
        </w:tc>
        <w:tc>
          <w:tcPr>
            <w:tcW w:w="3686" w:type="dxa"/>
          </w:tcPr>
          <w:p w14:paraId="209AEA69"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lastRenderedPageBreak/>
              <w:t>In addition to jurisdictions’ priorities, Governments will prioritise actions based on the findings of the Sector Strengthening Plans</w:t>
            </w:r>
            <w:r w:rsidR="00E557A6" w:rsidRPr="004B58D1">
              <w:rPr>
                <w:rFonts w:ascii="Calibri" w:eastAsia="Times New Roman" w:hAnsi="Calibri" w:cs="Calibri"/>
                <w:color w:val="000000" w:themeColor="text1"/>
                <w:lang w:eastAsia="en-AU"/>
              </w:rPr>
              <w:t xml:space="preserve"> evaluations</w:t>
            </w:r>
            <w:r w:rsidRPr="004B58D1">
              <w:rPr>
                <w:rFonts w:ascii="Calibri" w:eastAsia="Times New Roman" w:hAnsi="Calibri" w:cs="Calibri"/>
                <w:color w:val="000000" w:themeColor="text1"/>
                <w:lang w:eastAsia="en-AU"/>
              </w:rPr>
              <w:t>.</w:t>
            </w:r>
            <w:r w:rsidRPr="004B58D1">
              <w:rPr>
                <w:rFonts w:ascii="Calibri" w:eastAsia="Times New Roman" w:hAnsi="Calibri" w:cs="Calibri"/>
                <w:bCs/>
                <w:color w:val="000000" w:themeColor="text1"/>
                <w:lang w:eastAsia="en-AU"/>
              </w:rPr>
              <w:t xml:space="preserve"> </w:t>
            </w:r>
          </w:p>
          <w:p w14:paraId="3BA44EF1" w14:textId="6E79DA3D" w:rsidR="00FA76C7" w:rsidRPr="00EA5B65" w:rsidRDefault="00517F17" w:rsidP="00EA5B65">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in partnership with their jurisdictional peaks to specify direct actions relating to partnerships with ACCOs in their next Implementation Plans and </w:t>
            </w:r>
            <w:r w:rsidRPr="004B58D1">
              <w:rPr>
                <w:rFonts w:ascii="Calibri" w:eastAsia="Times New Roman" w:hAnsi="Calibri" w:cs="Calibri"/>
                <w:bCs/>
                <w:color w:val="000000" w:themeColor="text1"/>
                <w:lang w:eastAsia="en-AU"/>
              </w:rPr>
              <w:t>will report on actions in their Closing the Gap annual reports.</w:t>
            </w:r>
          </w:p>
        </w:tc>
      </w:tr>
      <w:tr w:rsidR="00517F17" w:rsidRPr="004B58D1" w14:paraId="666431E5" w14:textId="77777777" w:rsidTr="5ABF73BF">
        <w:trPr>
          <w:trHeight w:val="1783"/>
        </w:trPr>
        <w:tc>
          <w:tcPr>
            <w:tcW w:w="2694" w:type="dxa"/>
            <w:tcMar>
              <w:top w:w="80" w:type="dxa"/>
              <w:left w:w="80" w:type="dxa"/>
              <w:bottom w:w="80" w:type="dxa"/>
              <w:right w:w="80" w:type="dxa"/>
            </w:tcMar>
            <w:hideMark/>
          </w:tcPr>
          <w:p w14:paraId="14AB010E"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Regular meetings between Ministers and Aboriginal and Torres Strait Islander peak bodies</w:t>
            </w:r>
          </w:p>
        </w:tc>
        <w:tc>
          <w:tcPr>
            <w:tcW w:w="1417" w:type="dxa"/>
          </w:tcPr>
          <w:p w14:paraId="7F542B5B"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5" w:type="dxa"/>
          </w:tcPr>
          <w:p w14:paraId="5B1047E1" w14:textId="77777777" w:rsidR="00517F17" w:rsidRPr="004B58D1" w:rsidRDefault="007E12B6"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All relevant </w:t>
            </w:r>
            <w:r w:rsidR="00517F17" w:rsidRPr="004B58D1">
              <w:rPr>
                <w:rFonts w:ascii="Calibri" w:eastAsia="Times New Roman" w:hAnsi="Calibri" w:cs="Calibri"/>
                <w:color w:val="000000" w:themeColor="text1"/>
                <w:lang w:eastAsia="en-AU"/>
              </w:rPr>
              <w:t>Ministers will meet regularly with the Coalition of Peaks and relevant Aboriginal and Torres Strait Islander peak bodies</w:t>
            </w:r>
            <w:r w:rsidRPr="004B58D1">
              <w:rPr>
                <w:rFonts w:ascii="Calibri" w:eastAsia="Times New Roman" w:hAnsi="Calibri" w:cs="Calibri"/>
                <w:color w:val="000000" w:themeColor="text1"/>
                <w:lang w:eastAsia="en-AU"/>
              </w:rPr>
              <w:t xml:space="preserve"> to discuss progress under the National Agreement on Closing the Gap</w:t>
            </w:r>
            <w:r w:rsidR="00517F17" w:rsidRPr="004B58D1">
              <w:rPr>
                <w:rFonts w:ascii="Calibri" w:eastAsia="Times New Roman" w:hAnsi="Calibri" w:cs="Calibri"/>
                <w:color w:val="000000" w:themeColor="text1"/>
                <w:lang w:eastAsia="en-AU"/>
              </w:rPr>
              <w:t>.</w:t>
            </w:r>
          </w:p>
          <w:p w14:paraId="1AA26C77" w14:textId="77777777" w:rsidR="00517F17" w:rsidRPr="004B58D1" w:rsidRDefault="00517F17" w:rsidP="00397837">
            <w:pPr>
              <w:spacing w:before="120" w:after="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At a minimum these meetings should include discussion on progress on embedding the Priority Reforms, opportunities and any issues or barriers to service delivery in the relevant sector. </w:t>
            </w:r>
          </w:p>
        </w:tc>
        <w:tc>
          <w:tcPr>
            <w:tcW w:w="3686" w:type="dxa"/>
          </w:tcPr>
          <w:p w14:paraId="6427D005"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Peaks will work with jurisdictions to incorporate an annual schedule of meetings into existing governance arrangements. </w:t>
            </w:r>
          </w:p>
        </w:tc>
      </w:tr>
      <w:tr w:rsidR="00517F17" w:rsidRPr="004B58D1" w14:paraId="5C959B60" w14:textId="77777777" w:rsidTr="5ABF73BF">
        <w:trPr>
          <w:trHeight w:val="263"/>
        </w:trPr>
        <w:tc>
          <w:tcPr>
            <w:tcW w:w="2694" w:type="dxa"/>
            <w:tcMar>
              <w:top w:w="80" w:type="dxa"/>
              <w:left w:w="80" w:type="dxa"/>
              <w:bottom w:w="80" w:type="dxa"/>
              <w:right w:w="80" w:type="dxa"/>
            </w:tcMar>
            <w:hideMark/>
          </w:tcPr>
          <w:p w14:paraId="2CDB157B" w14:textId="77777777" w:rsidR="00517F17" w:rsidRPr="004B58D1" w:rsidRDefault="00517F17" w:rsidP="00FA76C7">
            <w:pPr>
              <w:pStyle w:val="ListParagraph"/>
              <w:numPr>
                <w:ilvl w:val="1"/>
                <w:numId w:val="8"/>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Governments adequately resourcing the implementation of the Agreement</w:t>
            </w:r>
          </w:p>
        </w:tc>
        <w:tc>
          <w:tcPr>
            <w:tcW w:w="1417" w:type="dxa"/>
          </w:tcPr>
          <w:p w14:paraId="6BD3C9C0"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36EFC230"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rPr>
              <w:t>Joint Council members acknowledge that the implementation of the National Agreement is a shared commitment which can only be realised with adequate resourcing.</w:t>
            </w:r>
          </w:p>
          <w:p w14:paraId="26F97398" w14:textId="77777777" w:rsidR="00517F17" w:rsidRPr="004B58D1" w:rsidRDefault="00517F17" w:rsidP="00FA76C7">
            <w:pPr>
              <w:spacing w:before="120" w:line="276" w:lineRule="auto"/>
              <w:ind w:left="57" w:right="57"/>
              <w:rPr>
                <w:rFonts w:ascii="Calibri" w:hAnsi="Calibri" w:cs="Calibri"/>
                <w:color w:val="000000" w:themeColor="text1"/>
              </w:rPr>
            </w:pPr>
            <w:r w:rsidRPr="004B58D1">
              <w:rPr>
                <w:rFonts w:ascii="Calibri" w:eastAsia="Times New Roman" w:hAnsi="Calibri" w:cs="Calibri"/>
                <w:color w:val="000000" w:themeColor="text1"/>
                <w:lang w:eastAsia="en-AU"/>
              </w:rPr>
              <w:t>To date, resourcing directed at implementing has fallen short of the ambition set out in the National Agreement. Consideration of additional investment by governments is required to meet the commitments agreed by Parties</w:t>
            </w:r>
            <w:r w:rsidRPr="004B58D1">
              <w:rPr>
                <w:rFonts w:ascii="Calibri" w:hAnsi="Calibri" w:cs="Calibri"/>
                <w:color w:val="000000" w:themeColor="text1"/>
              </w:rPr>
              <w:t>, to support the Peaks and transform government organisations</w:t>
            </w:r>
            <w:r w:rsidRPr="004B58D1">
              <w:rPr>
                <w:rFonts w:ascii="Calibri" w:eastAsia="Times New Roman" w:hAnsi="Calibri" w:cs="Calibri"/>
                <w:color w:val="000000" w:themeColor="text1"/>
                <w:lang w:eastAsia="en-AU"/>
              </w:rPr>
              <w:t>.</w:t>
            </w:r>
            <w:r w:rsidRPr="004B58D1">
              <w:rPr>
                <w:rFonts w:ascii="Calibri" w:hAnsi="Calibri" w:cs="Calibri"/>
                <w:color w:val="000000" w:themeColor="text1"/>
              </w:rPr>
              <w:t xml:space="preserve"> </w:t>
            </w:r>
          </w:p>
          <w:p w14:paraId="4AD464FC"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rPr>
              <w:t>All parties to the National Agreement agree to provide greater transparency relating to funding commitments, efforts to reshape existing funding for Closing the Gap activities to get better outcomes, and sustained, long-term resourcing and investment to drive enduring change.</w:t>
            </w:r>
          </w:p>
          <w:p w14:paraId="5132FE6C"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will work with their jurisdictional Peak</w:t>
            </w:r>
            <w:r w:rsidR="000A610D" w:rsidRPr="004B58D1">
              <w:rPr>
                <w:rFonts w:ascii="Calibri" w:eastAsia="Times New Roman" w:hAnsi="Calibri" w:cs="Calibri"/>
                <w:color w:val="000000" w:themeColor="text1"/>
                <w:lang w:eastAsia="en-AU"/>
              </w:rPr>
              <w:t>s</w:t>
            </w:r>
            <w:r w:rsidRPr="004B58D1">
              <w:rPr>
                <w:rFonts w:ascii="Calibri" w:eastAsia="Times New Roman" w:hAnsi="Calibri" w:cs="Calibri"/>
                <w:color w:val="000000" w:themeColor="text1"/>
                <w:lang w:eastAsia="en-AU"/>
              </w:rPr>
              <w:t xml:space="preserve"> to provide adequate funding to participa</w:t>
            </w:r>
            <w:r w:rsidR="00E557A6" w:rsidRPr="004B58D1">
              <w:rPr>
                <w:rFonts w:ascii="Calibri" w:eastAsia="Times New Roman" w:hAnsi="Calibri" w:cs="Calibri"/>
                <w:color w:val="000000" w:themeColor="text1"/>
                <w:lang w:eastAsia="en-AU"/>
              </w:rPr>
              <w:t>te as</w:t>
            </w:r>
            <w:r w:rsidR="00EF5239"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partners</w:t>
            </w:r>
            <w:r w:rsidR="00E557A6" w:rsidRPr="004B58D1">
              <w:rPr>
                <w:rFonts w:ascii="Calibri" w:eastAsia="Times New Roman" w:hAnsi="Calibri" w:cs="Calibri"/>
                <w:color w:val="000000" w:themeColor="text1"/>
                <w:lang w:eastAsia="en-AU"/>
              </w:rPr>
              <w:t xml:space="preserve"> and support the </w:t>
            </w:r>
            <w:r w:rsidRPr="004B58D1">
              <w:rPr>
                <w:rFonts w:ascii="Calibri" w:eastAsia="Times New Roman" w:hAnsi="Calibri" w:cs="Calibri"/>
                <w:color w:val="000000" w:themeColor="text1"/>
                <w:lang w:eastAsia="en-AU"/>
              </w:rPr>
              <w:t xml:space="preserve">work required to implement the Closing the Gap Agreement. </w:t>
            </w:r>
          </w:p>
          <w:p w14:paraId="2C575E23" w14:textId="77777777" w:rsidR="00517F17" w:rsidRPr="004B58D1" w:rsidRDefault="00517F17" w:rsidP="00397837">
            <w:pPr>
              <w:pStyle w:val="TableParagraph"/>
              <w:spacing w:before="120" w:line="276" w:lineRule="auto"/>
              <w:ind w:left="62" w:right="147"/>
              <w:rPr>
                <w:rFonts w:ascii="Calibri" w:hAnsi="Calibri" w:cs="Calibri"/>
                <w:color w:val="000000" w:themeColor="text1"/>
                <w:sz w:val="20"/>
                <w:szCs w:val="20"/>
              </w:rPr>
            </w:pPr>
            <w:r w:rsidRPr="004B58D1">
              <w:rPr>
                <w:rFonts w:ascii="Calibri" w:hAnsi="Calibri" w:cs="Calibri"/>
                <w:color w:val="000000" w:themeColor="text1"/>
                <w:sz w:val="20"/>
                <w:szCs w:val="20"/>
              </w:rPr>
              <w:t>Subject to jurisdictional budget processes, governments agree to maintain shared and flexible resourcing through an agreed proportional model for commitments under the National Agreement</w:t>
            </w:r>
            <w:r w:rsidR="00A60F08" w:rsidRPr="004B58D1">
              <w:rPr>
                <w:rFonts w:ascii="Calibri" w:hAnsi="Calibri" w:cs="Calibri"/>
                <w:color w:val="000000" w:themeColor="text1"/>
                <w:sz w:val="20"/>
                <w:szCs w:val="20"/>
              </w:rPr>
              <w:t xml:space="preserve"> and require joint funding</w:t>
            </w:r>
            <w:r w:rsidRPr="004B58D1">
              <w:rPr>
                <w:rFonts w:ascii="Calibri" w:hAnsi="Calibri" w:cs="Calibri"/>
                <w:color w:val="000000" w:themeColor="text1"/>
                <w:sz w:val="20"/>
                <w:szCs w:val="20"/>
              </w:rPr>
              <w:t xml:space="preserve">. The shared resourcing will be reviewed periodically to </w:t>
            </w:r>
            <w:proofErr w:type="gramStart"/>
            <w:r w:rsidRPr="004B58D1">
              <w:rPr>
                <w:rFonts w:ascii="Calibri" w:hAnsi="Calibri" w:cs="Calibri"/>
                <w:color w:val="000000" w:themeColor="text1"/>
                <w:sz w:val="20"/>
                <w:szCs w:val="20"/>
              </w:rPr>
              <w:t>take into account</w:t>
            </w:r>
            <w:proofErr w:type="gramEnd"/>
            <w:r w:rsidRPr="004B58D1">
              <w:rPr>
                <w:rFonts w:ascii="Calibri" w:hAnsi="Calibri" w:cs="Calibri"/>
                <w:color w:val="000000" w:themeColor="text1"/>
                <w:sz w:val="20"/>
                <w:szCs w:val="20"/>
              </w:rPr>
              <w:t xml:space="preserve"> emerging priorities and resourcing requirements. </w:t>
            </w:r>
          </w:p>
        </w:tc>
        <w:tc>
          <w:tcPr>
            <w:tcW w:w="3686" w:type="dxa"/>
          </w:tcPr>
          <w:p w14:paraId="2EC32395" w14:textId="77777777" w:rsidR="00517F17" w:rsidRPr="004B58D1" w:rsidRDefault="00517F1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t>All parties</w:t>
            </w:r>
            <w:r w:rsidRPr="004B58D1">
              <w:rPr>
                <w:rFonts w:ascii="Calibri" w:eastAsia="Times New Roman" w:hAnsi="Calibri" w:cs="Calibri"/>
                <w:bCs/>
                <w:color w:val="000000" w:themeColor="text1"/>
                <w:lang w:eastAsia="en-AU"/>
              </w:rPr>
              <w:t xml:space="preserve"> to the National Agreement will provide an overview of funding allocated to implementing the Agreement to Joint Council on a </w:t>
            </w:r>
            <w:r w:rsidR="00FD3596" w:rsidRPr="004B58D1">
              <w:rPr>
                <w:rFonts w:ascii="Calibri" w:eastAsia="Times New Roman" w:hAnsi="Calibri" w:cs="Calibri"/>
                <w:bCs/>
                <w:color w:val="000000" w:themeColor="text1"/>
                <w:lang w:eastAsia="en-AU"/>
              </w:rPr>
              <w:t>bi</w:t>
            </w:r>
            <w:r w:rsidRPr="004B58D1">
              <w:rPr>
                <w:rFonts w:ascii="Calibri" w:eastAsia="Times New Roman" w:hAnsi="Calibri" w:cs="Calibri"/>
                <w:bCs/>
                <w:color w:val="000000" w:themeColor="text1"/>
                <w:lang w:eastAsia="en-AU"/>
              </w:rPr>
              <w:t xml:space="preserve">annual basis. </w:t>
            </w:r>
          </w:p>
          <w:p w14:paraId="0F38CDD2" w14:textId="77777777" w:rsidR="00517F17" w:rsidRPr="004B58D1" w:rsidRDefault="00517F17" w:rsidP="00FA76C7">
            <w:pPr>
              <w:spacing w:before="120" w:line="276" w:lineRule="auto"/>
              <w:ind w:left="57" w:right="57"/>
              <w:rPr>
                <w:rFonts w:ascii="Calibri" w:eastAsia="Times New Roman" w:hAnsi="Calibri" w:cs="Calibri"/>
                <w:bCs/>
                <w:lang w:eastAsia="en-AU"/>
              </w:rPr>
            </w:pPr>
          </w:p>
          <w:p w14:paraId="113C97BB" w14:textId="12A7273C" w:rsidR="00744827" w:rsidRPr="004B58D1" w:rsidRDefault="00744827" w:rsidP="00FA76C7">
            <w:pPr>
              <w:spacing w:before="120" w:line="276" w:lineRule="auto"/>
              <w:ind w:left="57" w:right="57"/>
              <w:rPr>
                <w:rFonts w:ascii="Calibri" w:eastAsia="Times New Roman" w:hAnsi="Calibri" w:cs="Calibri"/>
                <w:bCs/>
                <w:lang w:eastAsia="en-AU"/>
              </w:rPr>
            </w:pPr>
          </w:p>
        </w:tc>
      </w:tr>
      <w:tr w:rsidR="00517F17" w:rsidRPr="004B58D1" w14:paraId="4DCD9B34" w14:textId="77777777" w:rsidTr="5ABF73BF">
        <w:trPr>
          <w:trHeight w:val="263"/>
        </w:trPr>
        <w:tc>
          <w:tcPr>
            <w:tcW w:w="2694" w:type="dxa"/>
            <w:tcMar>
              <w:top w:w="80" w:type="dxa"/>
              <w:left w:w="80" w:type="dxa"/>
              <w:bottom w:w="80" w:type="dxa"/>
              <w:right w:w="80" w:type="dxa"/>
            </w:tcMar>
          </w:tcPr>
          <w:p w14:paraId="7276A5C9" w14:textId="03EF14E2" w:rsidR="00517F17" w:rsidRPr="004B58D1" w:rsidRDefault="000F6C88" w:rsidP="00FA76C7">
            <w:pPr>
              <w:pStyle w:val="ListParagraph"/>
              <w:numPr>
                <w:ilvl w:val="1"/>
                <w:numId w:val="8"/>
              </w:numPr>
              <w:spacing w:before="120" w:line="276" w:lineRule="auto"/>
              <w:rPr>
                <w:rFonts w:ascii="Calibri" w:eastAsia="Times New Roman" w:hAnsi="Calibri" w:cs="Calibri"/>
                <w:color w:val="000000" w:themeColor="text1"/>
                <w:lang w:val="en-US" w:eastAsia="en-AU"/>
              </w:rPr>
            </w:pPr>
            <w:r w:rsidRPr="004B58D1">
              <w:rPr>
                <w:rFonts w:ascii="Calibri" w:hAnsi="Calibri" w:cs="Calibri"/>
              </w:rPr>
              <w:lastRenderedPageBreak/>
              <w:br w:type="page"/>
            </w:r>
            <w:r w:rsidR="00517F17" w:rsidRPr="004B58D1">
              <w:rPr>
                <w:rFonts w:ascii="Calibri" w:eastAsia="Times New Roman" w:hAnsi="Calibri" w:cs="Calibri"/>
                <w:color w:val="000000" w:themeColor="text1"/>
                <w:lang w:eastAsia="en-AU"/>
              </w:rPr>
              <w:t>Governments writing implementation plans more strategically, in collaboration with Aboriginal and Torres Strait Islander people</w:t>
            </w:r>
          </w:p>
        </w:tc>
        <w:tc>
          <w:tcPr>
            <w:tcW w:w="1417" w:type="dxa"/>
          </w:tcPr>
          <w:p w14:paraId="4CC31025" w14:textId="77777777" w:rsidR="00517F17" w:rsidRPr="004B58D1" w:rsidRDefault="00517F1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5" w:type="dxa"/>
          </w:tcPr>
          <w:p w14:paraId="724F4CA8"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Parties agree that a strategic approach to writing implementation plans is necessary to achieve the scale and pace of change that is needed to embed the Priority Reforms.</w:t>
            </w:r>
          </w:p>
          <w:p w14:paraId="673CB47A" w14:textId="77777777" w:rsidR="00517F17" w:rsidRPr="004B58D1" w:rsidRDefault="00517F17"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work closely with and be guided by jurisdictional Peaks to agree strategies and actions that are substantive and critical to achieve the objectives of the National Agreement. These strategies and actions are to be s</w:t>
            </w:r>
            <w:r w:rsidR="006A1CF0" w:rsidRPr="004B58D1">
              <w:rPr>
                <w:rFonts w:ascii="Calibri" w:eastAsia="Times New Roman" w:hAnsi="Calibri" w:cs="Calibri"/>
                <w:bCs/>
                <w:color w:val="000000" w:themeColor="text1"/>
                <w:lang w:eastAsia="en-AU"/>
              </w:rPr>
              <w:t>et out in Implementation P</w:t>
            </w:r>
            <w:r w:rsidRPr="004B58D1">
              <w:rPr>
                <w:rFonts w:ascii="Calibri" w:eastAsia="Times New Roman" w:hAnsi="Calibri" w:cs="Calibri"/>
                <w:bCs/>
                <w:color w:val="000000" w:themeColor="text1"/>
                <w:lang w:eastAsia="en-AU"/>
              </w:rPr>
              <w:t xml:space="preserve">lans: </w:t>
            </w:r>
          </w:p>
          <w:p w14:paraId="1EE49872" w14:textId="77777777" w:rsidR="00517F17" w:rsidRPr="004B58D1" w:rsidRDefault="00517F17" w:rsidP="00FA76C7">
            <w:pPr>
              <w:pStyle w:val="ListParagraph"/>
              <w:numPr>
                <w:ilvl w:val="0"/>
                <w:numId w:val="15"/>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with details of the funding and timeframe for each agreed action</w:t>
            </w:r>
          </w:p>
          <w:p w14:paraId="42B90503" w14:textId="77777777" w:rsidR="001B2A2E" w:rsidRPr="004B58D1" w:rsidRDefault="001B2A2E" w:rsidP="00FA76C7">
            <w:pPr>
              <w:pStyle w:val="ListParagraph"/>
              <w:numPr>
                <w:ilvl w:val="0"/>
                <w:numId w:val="15"/>
              </w:numPr>
              <w:spacing w:before="120" w:line="276" w:lineRule="auto"/>
              <w:ind w:right="113"/>
              <w:rPr>
                <w:rFonts w:ascii="Calibri" w:hAnsi="Calibri" w:cs="Calibri"/>
                <w:color w:val="262626"/>
              </w:rPr>
            </w:pPr>
            <w:r w:rsidRPr="004B58D1">
              <w:rPr>
                <w:rFonts w:ascii="Calibri" w:hAnsi="Calibri" w:cs="Calibri"/>
                <w:color w:val="262626"/>
              </w:rPr>
              <w:t>demonstrate ongoing progress towards building the Community Controlled Sector as set out in the Strong Sector Elements (Clause 45)</w:t>
            </w:r>
            <w:r w:rsidR="000C4D3D" w:rsidRPr="004B58D1">
              <w:rPr>
                <w:rFonts w:ascii="Calibri" w:hAnsi="Calibri" w:cs="Calibri"/>
                <w:color w:val="262626"/>
              </w:rPr>
              <w:t xml:space="preserve"> and what funding has been made available. </w:t>
            </w:r>
          </w:p>
          <w:p w14:paraId="4F021563" w14:textId="77777777" w:rsidR="00517F17" w:rsidRPr="004B58D1" w:rsidRDefault="00517F17" w:rsidP="00FA76C7">
            <w:pPr>
              <w:pStyle w:val="ListParagraph"/>
              <w:numPr>
                <w:ilvl w:val="0"/>
                <w:numId w:val="15"/>
              </w:numPr>
              <w:spacing w:before="120" w:line="276" w:lineRule="auto"/>
              <w:ind w:right="113"/>
              <w:rPr>
                <w:rFonts w:ascii="Calibri" w:hAnsi="Calibri" w:cs="Calibri"/>
                <w:color w:val="262626"/>
              </w:rPr>
            </w:pPr>
            <w:r w:rsidRPr="004B58D1">
              <w:rPr>
                <w:rFonts w:ascii="Calibri" w:eastAsia="Times New Roman" w:hAnsi="Calibri" w:cs="Calibri"/>
                <w:color w:val="000000" w:themeColor="text1"/>
                <w:lang w:eastAsia="en-AU"/>
              </w:rPr>
              <w:t>and updated when there are changes that affect the agreed strategies.</w:t>
            </w:r>
          </w:p>
        </w:tc>
        <w:tc>
          <w:tcPr>
            <w:tcW w:w="3686" w:type="dxa"/>
          </w:tcPr>
          <w:p w14:paraId="1DFB53E1" w14:textId="77777777" w:rsidR="00517F17" w:rsidRPr="004B58D1" w:rsidRDefault="00517F17" w:rsidP="00FA76C7">
            <w:pPr>
              <w:spacing w:before="120" w:line="276" w:lineRule="auto"/>
              <w:ind w:left="57" w:right="57"/>
              <w:rPr>
                <w:rFonts w:ascii="Calibri" w:eastAsia="Times New Roman" w:hAnsi="Calibri" w:cs="Calibri"/>
                <w:bCs/>
                <w:lang w:eastAsia="en-AU"/>
              </w:rPr>
            </w:pPr>
            <w:r w:rsidRPr="004B58D1">
              <w:rPr>
                <w:rFonts w:ascii="Calibri" w:eastAsia="Times New Roman" w:hAnsi="Calibri" w:cs="Calibri"/>
                <w:bCs/>
                <w:color w:val="000000" w:themeColor="text1"/>
                <w:lang w:eastAsia="en-AU"/>
              </w:rPr>
              <w:t>The Australian, state and territory governments will report on all actions set out in implementation plans in their Closing the Gap annual reports, including whether actions are on track to be delivered as planned.</w:t>
            </w:r>
          </w:p>
        </w:tc>
      </w:tr>
    </w:tbl>
    <w:p w14:paraId="63C80A22" w14:textId="461ABD02" w:rsidR="00F61BF0" w:rsidRPr="004B58D1" w:rsidRDefault="00F61BF0" w:rsidP="00FA76C7">
      <w:pPr>
        <w:spacing w:before="120" w:line="276" w:lineRule="auto"/>
        <w:rPr>
          <w:rFonts w:ascii="Calibri" w:hAnsi="Calibri" w:cs="Calibri"/>
        </w:rPr>
      </w:pPr>
    </w:p>
    <w:p w14:paraId="5554048D" w14:textId="77777777" w:rsidR="000F6C88" w:rsidRPr="004B58D1" w:rsidRDefault="000F6C88" w:rsidP="00FA76C7">
      <w:pPr>
        <w:spacing w:before="120" w:line="276" w:lineRule="auto"/>
        <w:rPr>
          <w:rFonts w:ascii="Calibri" w:hAnsi="Calibri" w:cs="Calibri"/>
        </w:rPr>
      </w:pPr>
      <w:r w:rsidRPr="004B58D1">
        <w:rPr>
          <w:rFonts w:ascii="Calibri" w:hAnsi="Calibri" w:cs="Calibri"/>
        </w:rPr>
        <w:br w:type="page"/>
      </w:r>
    </w:p>
    <w:tbl>
      <w:tblPr>
        <w:tblW w:w="14740"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ayout w:type="fixed"/>
        <w:tblCellMar>
          <w:left w:w="0" w:type="dxa"/>
          <w:right w:w="0" w:type="dxa"/>
        </w:tblCellMar>
        <w:tblLook w:val="04A0" w:firstRow="1" w:lastRow="0" w:firstColumn="1" w:lastColumn="0" w:noHBand="0" w:noVBand="1"/>
      </w:tblPr>
      <w:tblGrid>
        <w:gridCol w:w="2675"/>
        <w:gridCol w:w="1436"/>
        <w:gridCol w:w="7006"/>
        <w:gridCol w:w="3623"/>
      </w:tblGrid>
      <w:tr w:rsidR="00592D1A" w:rsidRPr="004B58D1" w14:paraId="48001227" w14:textId="77777777" w:rsidTr="000E03EC">
        <w:trPr>
          <w:tblHeader/>
        </w:trPr>
        <w:tc>
          <w:tcPr>
            <w:tcW w:w="2675" w:type="dxa"/>
            <w:shd w:val="clear" w:color="auto" w:fill="034C75"/>
            <w:tcMar>
              <w:top w:w="80" w:type="dxa"/>
              <w:left w:w="80" w:type="dxa"/>
              <w:bottom w:w="80" w:type="dxa"/>
              <w:right w:w="80" w:type="dxa"/>
            </w:tcMar>
            <w:vAlign w:val="center"/>
            <w:hideMark/>
          </w:tcPr>
          <w:p w14:paraId="0C3997F1"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lastRenderedPageBreak/>
              <w:t>RECOMMENDATION</w:t>
            </w:r>
          </w:p>
        </w:tc>
        <w:tc>
          <w:tcPr>
            <w:tcW w:w="1436" w:type="dxa"/>
            <w:shd w:val="clear" w:color="auto" w:fill="034C75"/>
            <w:vAlign w:val="center"/>
          </w:tcPr>
          <w:p w14:paraId="1886A702"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7006" w:type="dxa"/>
            <w:shd w:val="clear" w:color="auto" w:fill="034C75"/>
            <w:vAlign w:val="center"/>
          </w:tcPr>
          <w:p w14:paraId="00C1C2E2" w14:textId="2465E58F"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23" w:type="dxa"/>
            <w:shd w:val="clear" w:color="auto" w:fill="034C75"/>
            <w:vAlign w:val="center"/>
          </w:tcPr>
          <w:p w14:paraId="245E12B3"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6E763E" w:rsidRPr="004B58D1" w14:paraId="5AAEDC15" w14:textId="77777777" w:rsidTr="5ABF73BF">
        <w:tc>
          <w:tcPr>
            <w:tcW w:w="2675" w:type="dxa"/>
            <w:tcMar>
              <w:top w:w="80" w:type="dxa"/>
              <w:left w:w="80" w:type="dxa"/>
              <w:bottom w:w="80" w:type="dxa"/>
              <w:right w:w="80" w:type="dxa"/>
            </w:tcMar>
            <w:hideMark/>
          </w:tcPr>
          <w:p w14:paraId="45C53F31" w14:textId="77777777" w:rsidR="006E763E" w:rsidRPr="004B58D1" w:rsidRDefault="00625CC5" w:rsidP="00FA76C7">
            <w:pPr>
              <w:pStyle w:val="ListParagraph"/>
              <w:numPr>
                <w:ilvl w:val="1"/>
                <w:numId w:val="9"/>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Amend the Agreement to include Indigenous Data Sovereignty under Priority Reform Four</w:t>
            </w:r>
          </w:p>
        </w:tc>
        <w:tc>
          <w:tcPr>
            <w:tcW w:w="1436" w:type="dxa"/>
          </w:tcPr>
          <w:p w14:paraId="3B1614DD" w14:textId="77777777" w:rsidR="006E763E" w:rsidRPr="004B58D1" w:rsidRDefault="001A4958"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7006" w:type="dxa"/>
          </w:tcPr>
          <w:p w14:paraId="592B48DC"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agree to develop amendments to the National Agreement to include Indigenous Data Sovereignty under Priority Reform Four. </w:t>
            </w:r>
          </w:p>
          <w:p w14:paraId="6C97134F"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Joint Council tasks Partnership Working Group with developing proposed amendments and recommended timing for progressing the amendments. </w:t>
            </w:r>
          </w:p>
          <w:p w14:paraId="7ACCB369"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 developing the proposed amendments Partnership Working Group will consider:  </w:t>
            </w:r>
          </w:p>
          <w:p w14:paraId="1A0BAAC6" w14:textId="77777777" w:rsidR="00F25830" w:rsidRPr="004B58D1" w:rsidRDefault="00F25830"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outcomes of the Aboriginal and Torres Strait Islander-led review of the National Agreement, including recommendations from the Aboriginal and Torres Strait Islander Assembly on Closing the Gap.</w:t>
            </w:r>
          </w:p>
          <w:p w14:paraId="4CA3297F" w14:textId="77777777" w:rsidR="00F25830" w:rsidRPr="004B58D1" w:rsidRDefault="00F25830" w:rsidP="00FA76C7">
            <w:pPr>
              <w:numPr>
                <w:ilvl w:val="0"/>
                <w:numId w:val="18"/>
              </w:numPr>
              <w:spacing w:before="120" w:line="276" w:lineRule="auto"/>
              <w:ind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requirement to review parts of the National Agreement in 2025.  </w:t>
            </w:r>
          </w:p>
          <w:p w14:paraId="2A7BD67D" w14:textId="77777777" w:rsidR="00D3197E" w:rsidRPr="004B58D1" w:rsidRDefault="00D3197E"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note that jurisdictions will seek endorsement of the proposed amendments, once developed, through their jurisdictional approval processes. </w:t>
            </w:r>
          </w:p>
          <w:p w14:paraId="6BE03BB8" w14:textId="77777777" w:rsidR="00F95C9E" w:rsidRPr="004B58D1" w:rsidRDefault="00533D74" w:rsidP="00FA76C7">
            <w:pPr>
              <w:spacing w:before="120" w:line="276" w:lineRule="auto"/>
              <w:ind w:left="57" w:right="113"/>
              <w:rPr>
                <w:rFonts w:ascii="Calibri" w:eastAsia="Calibri" w:hAnsi="Calibri" w:cs="Calibri"/>
                <w:strike/>
                <w:color w:val="000000" w:themeColor="text1"/>
              </w:rPr>
            </w:pPr>
            <w:r w:rsidRPr="004B58D1">
              <w:rPr>
                <w:rFonts w:ascii="Calibri" w:eastAsia="Times New Roman" w:hAnsi="Calibri" w:cs="Calibri"/>
                <w:color w:val="000000" w:themeColor="text1"/>
                <w:lang w:eastAsia="en-AU"/>
              </w:rPr>
              <w:t>Parties agree to prioritise effort and funding to accelerate actions under Priority Reform Four</w:t>
            </w:r>
            <w:r w:rsidR="007F0333" w:rsidRPr="004B58D1">
              <w:rPr>
                <w:rFonts w:ascii="Calibri" w:eastAsia="Times New Roman" w:hAnsi="Calibri" w:cs="Calibri"/>
                <w:color w:val="000000" w:themeColor="text1"/>
                <w:lang w:eastAsia="en-AU"/>
              </w:rPr>
              <w:t xml:space="preserve"> with specific focus on progressi</w:t>
            </w:r>
            <w:r w:rsidR="00F25830" w:rsidRPr="004B58D1">
              <w:rPr>
                <w:rFonts w:ascii="Calibri" w:eastAsia="Times New Roman" w:hAnsi="Calibri" w:cs="Calibri"/>
                <w:color w:val="000000" w:themeColor="text1"/>
                <w:lang w:eastAsia="en-AU"/>
              </w:rPr>
              <w:t>ng the Community Data Projects, including addressing systemic barriers.</w:t>
            </w:r>
          </w:p>
          <w:p w14:paraId="145FF888" w14:textId="77777777" w:rsidR="00F95C9E" w:rsidRPr="004B58D1" w:rsidRDefault="00F95C9E" w:rsidP="00FA76C7">
            <w:pPr>
              <w:spacing w:before="120" w:line="276" w:lineRule="auto"/>
              <w:ind w:left="57" w:right="113"/>
              <w:rPr>
                <w:rFonts w:ascii="Calibri" w:eastAsia="Calibri" w:hAnsi="Calibri" w:cs="Calibri"/>
                <w:color w:val="000000" w:themeColor="text1"/>
              </w:rPr>
            </w:pPr>
            <w:r w:rsidRPr="004B58D1">
              <w:rPr>
                <w:rFonts w:ascii="Calibri" w:eastAsia="Calibri" w:hAnsi="Calibri" w:cs="Calibri"/>
                <w:color w:val="000000" w:themeColor="text1"/>
              </w:rPr>
              <w:t xml:space="preserve">Parties agree to </w:t>
            </w:r>
            <w:r w:rsidR="00112B5E" w:rsidRPr="004B58D1">
              <w:rPr>
                <w:rFonts w:ascii="Calibri" w:eastAsia="Calibri" w:hAnsi="Calibri" w:cs="Calibri"/>
                <w:color w:val="000000" w:themeColor="text1"/>
              </w:rPr>
              <w:t>implement Indigenous Data Sovereignty</w:t>
            </w:r>
            <w:r w:rsidR="006A61FA" w:rsidRPr="004B58D1">
              <w:rPr>
                <w:rFonts w:ascii="Calibri" w:eastAsia="Calibri" w:hAnsi="Calibri" w:cs="Calibri"/>
                <w:color w:val="000000" w:themeColor="text1"/>
              </w:rPr>
              <w:t xml:space="preserve"> (IDS) </w:t>
            </w:r>
            <w:r w:rsidR="006029E2" w:rsidRPr="004B58D1">
              <w:rPr>
                <w:rFonts w:ascii="Calibri" w:eastAsia="Calibri" w:hAnsi="Calibri" w:cs="Calibri"/>
                <w:color w:val="000000" w:themeColor="text1"/>
              </w:rPr>
              <w:t>as part of the Community Data Projects</w:t>
            </w:r>
            <w:r w:rsidR="006A61FA" w:rsidRPr="004B58D1">
              <w:rPr>
                <w:rFonts w:ascii="Calibri" w:eastAsia="Calibri" w:hAnsi="Calibri" w:cs="Calibri"/>
                <w:color w:val="000000" w:themeColor="text1"/>
              </w:rPr>
              <w:t xml:space="preserve">, adopting the definitions of IDS </w:t>
            </w:r>
            <w:r w:rsidR="00E1055D" w:rsidRPr="004B58D1">
              <w:rPr>
                <w:rFonts w:ascii="Calibri" w:eastAsia="Calibri" w:hAnsi="Calibri" w:cs="Calibri"/>
                <w:color w:val="000000" w:themeColor="text1"/>
              </w:rPr>
              <w:t xml:space="preserve">and Indigenous Data </w:t>
            </w:r>
            <w:r w:rsidR="005D34A1" w:rsidRPr="004B58D1">
              <w:rPr>
                <w:rFonts w:ascii="Calibri" w:eastAsia="Calibri" w:hAnsi="Calibri" w:cs="Calibri"/>
                <w:color w:val="000000" w:themeColor="text1"/>
              </w:rPr>
              <w:t>Governance</w:t>
            </w:r>
            <w:r w:rsidR="00E1055D" w:rsidRPr="004B58D1">
              <w:rPr>
                <w:rFonts w:ascii="Calibri" w:eastAsia="Calibri" w:hAnsi="Calibri" w:cs="Calibri"/>
                <w:color w:val="000000" w:themeColor="text1"/>
              </w:rPr>
              <w:t xml:space="preserve"> </w:t>
            </w:r>
            <w:r w:rsidR="00531C9E" w:rsidRPr="004B58D1">
              <w:rPr>
                <w:rFonts w:ascii="Calibri" w:eastAsia="Calibri" w:hAnsi="Calibri" w:cs="Calibri"/>
                <w:color w:val="000000" w:themeColor="text1"/>
              </w:rPr>
              <w:t xml:space="preserve">as set out by the </w:t>
            </w:r>
            <w:proofErr w:type="spellStart"/>
            <w:r w:rsidR="00531C9E" w:rsidRPr="004B58D1">
              <w:rPr>
                <w:rFonts w:ascii="Calibri" w:eastAsia="Calibri" w:hAnsi="Calibri" w:cs="Calibri"/>
                <w:color w:val="000000" w:themeColor="text1"/>
              </w:rPr>
              <w:t>Maiam</w:t>
            </w:r>
            <w:proofErr w:type="spellEnd"/>
            <w:r w:rsidR="00531C9E" w:rsidRPr="004B58D1">
              <w:rPr>
                <w:rFonts w:ascii="Calibri" w:eastAsia="Calibri" w:hAnsi="Calibri" w:cs="Calibri"/>
                <w:color w:val="000000" w:themeColor="text1"/>
              </w:rPr>
              <w:t xml:space="preserve"> </w:t>
            </w:r>
            <w:proofErr w:type="spellStart"/>
            <w:r w:rsidR="00531C9E" w:rsidRPr="004B58D1">
              <w:rPr>
                <w:rFonts w:ascii="Calibri" w:eastAsia="Calibri" w:hAnsi="Calibri" w:cs="Calibri"/>
                <w:color w:val="000000" w:themeColor="text1"/>
              </w:rPr>
              <w:t>nayri</w:t>
            </w:r>
            <w:proofErr w:type="spellEnd"/>
            <w:r w:rsidR="00531C9E" w:rsidRPr="004B58D1">
              <w:rPr>
                <w:rFonts w:ascii="Calibri" w:eastAsia="Calibri" w:hAnsi="Calibri" w:cs="Calibri"/>
                <w:color w:val="000000" w:themeColor="text1"/>
              </w:rPr>
              <w:t xml:space="preserve"> </w:t>
            </w:r>
            <w:proofErr w:type="spellStart"/>
            <w:r w:rsidR="00531C9E" w:rsidRPr="004B58D1">
              <w:rPr>
                <w:rFonts w:ascii="Calibri" w:eastAsia="Calibri" w:hAnsi="Calibri" w:cs="Calibri"/>
                <w:color w:val="000000" w:themeColor="text1"/>
              </w:rPr>
              <w:t>Wingara</w:t>
            </w:r>
            <w:proofErr w:type="spellEnd"/>
            <w:r w:rsidR="00531C9E" w:rsidRPr="004B58D1">
              <w:rPr>
                <w:rFonts w:ascii="Calibri" w:eastAsia="Calibri" w:hAnsi="Calibri" w:cs="Calibri"/>
                <w:color w:val="000000" w:themeColor="text1"/>
              </w:rPr>
              <w:t xml:space="preserve"> Indigenous Data Sovereignty Collective</w:t>
            </w:r>
            <w:r w:rsidR="005D34A1" w:rsidRPr="004B58D1">
              <w:rPr>
                <w:rFonts w:ascii="Calibri" w:eastAsia="Calibri" w:hAnsi="Calibri" w:cs="Calibri"/>
                <w:color w:val="000000" w:themeColor="text1"/>
              </w:rPr>
              <w:t>.</w:t>
            </w:r>
          </w:p>
          <w:p w14:paraId="40CE4875" w14:textId="77777777" w:rsidR="006E763E" w:rsidRPr="004B58D1" w:rsidRDefault="00AA61E2" w:rsidP="00FA76C7">
            <w:pPr>
              <w:spacing w:before="120" w:line="276" w:lineRule="auto"/>
              <w:ind w:left="57" w:right="113"/>
              <w:rPr>
                <w:rFonts w:ascii="Calibri" w:eastAsia="Calibri" w:hAnsi="Calibri" w:cs="Calibri"/>
                <w:color w:val="000000" w:themeColor="text1"/>
              </w:rPr>
            </w:pPr>
            <w:r w:rsidRPr="004B58D1">
              <w:rPr>
                <w:rFonts w:ascii="Calibri" w:eastAsia="Calibri" w:hAnsi="Calibri" w:cs="Calibri"/>
                <w:color w:val="000000" w:themeColor="text1"/>
              </w:rPr>
              <w:t xml:space="preserve">This will include </w:t>
            </w:r>
            <w:r w:rsidR="00F25830" w:rsidRPr="004B58D1">
              <w:rPr>
                <w:rFonts w:ascii="Calibri" w:eastAsia="Calibri" w:hAnsi="Calibri" w:cs="Calibri"/>
                <w:color w:val="000000" w:themeColor="text1"/>
              </w:rPr>
              <w:t xml:space="preserve">models for </w:t>
            </w:r>
            <w:r w:rsidR="002C7258" w:rsidRPr="004B58D1">
              <w:rPr>
                <w:rFonts w:ascii="Calibri" w:eastAsia="Calibri" w:hAnsi="Calibri" w:cs="Calibri"/>
                <w:color w:val="000000" w:themeColor="text1"/>
              </w:rPr>
              <w:t>incorporating IDG into existing data system</w:t>
            </w:r>
            <w:r w:rsidR="00274D7F" w:rsidRPr="004B58D1">
              <w:rPr>
                <w:rFonts w:ascii="Calibri" w:eastAsia="Calibri" w:hAnsi="Calibri" w:cs="Calibri"/>
                <w:color w:val="000000" w:themeColor="text1"/>
              </w:rPr>
              <w:t>s</w:t>
            </w:r>
            <w:r w:rsidR="00C5463C" w:rsidRPr="004B58D1">
              <w:rPr>
                <w:rFonts w:ascii="Calibri" w:eastAsia="Calibri" w:hAnsi="Calibri" w:cs="Calibri"/>
                <w:color w:val="000000" w:themeColor="text1"/>
              </w:rPr>
              <w:t xml:space="preserve">, strengthening the technical and </w:t>
            </w:r>
            <w:r w:rsidR="007B130D" w:rsidRPr="004B58D1">
              <w:rPr>
                <w:rFonts w:ascii="Calibri" w:eastAsia="Calibri" w:hAnsi="Calibri" w:cs="Calibri"/>
                <w:color w:val="000000" w:themeColor="text1"/>
              </w:rPr>
              <w:t>administrative</w:t>
            </w:r>
            <w:r w:rsidR="00F25830" w:rsidRPr="004B58D1">
              <w:rPr>
                <w:rFonts w:ascii="Calibri" w:eastAsia="Calibri" w:hAnsi="Calibri" w:cs="Calibri"/>
                <w:color w:val="000000" w:themeColor="text1"/>
              </w:rPr>
              <w:t xml:space="preserve"> data capability of ACCOs, </w:t>
            </w:r>
            <w:r w:rsidR="00AB5C1C" w:rsidRPr="004B58D1">
              <w:rPr>
                <w:rFonts w:ascii="Calibri" w:eastAsia="Calibri" w:hAnsi="Calibri" w:cs="Calibri"/>
                <w:color w:val="000000" w:themeColor="text1"/>
              </w:rPr>
              <w:t xml:space="preserve">governments and non-Indigenous </w:t>
            </w:r>
            <w:r w:rsidR="007B130D" w:rsidRPr="004B58D1">
              <w:rPr>
                <w:rFonts w:ascii="Calibri" w:eastAsia="Calibri" w:hAnsi="Calibri" w:cs="Calibri"/>
                <w:color w:val="000000" w:themeColor="text1"/>
              </w:rPr>
              <w:t xml:space="preserve">organisations relevant to the Community Data Projects. </w:t>
            </w:r>
          </w:p>
        </w:tc>
        <w:tc>
          <w:tcPr>
            <w:tcW w:w="3623" w:type="dxa"/>
          </w:tcPr>
          <w:p w14:paraId="44BE7C2E" w14:textId="77777777" w:rsidR="006E763E" w:rsidRPr="004B58D1" w:rsidRDefault="00D3197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w:t>
            </w:r>
            <w:r w:rsidRPr="004B58D1">
              <w:rPr>
                <w:rFonts w:ascii="Calibri" w:eastAsia="Times New Roman" w:hAnsi="Calibri" w:cs="Calibri"/>
                <w:color w:val="000000" w:themeColor="text1"/>
                <w:lang w:val="en-GB" w:eastAsia="en-AU"/>
              </w:rPr>
              <w:t xml:space="preserve"> Working Group will provide advice to Joint Council regarding proposed amendments and timing in 2025 (following the completion of the Aboriginal and Torres Strait Islander-led Review)</w:t>
            </w:r>
            <w:r w:rsidR="00AB4BF8" w:rsidRPr="004B58D1">
              <w:rPr>
                <w:rFonts w:ascii="Calibri" w:eastAsia="Times New Roman" w:hAnsi="Calibri" w:cs="Calibri"/>
                <w:color w:val="000000" w:themeColor="text1"/>
                <w:lang w:eastAsia="en-AU"/>
              </w:rPr>
              <w:t xml:space="preserve">, including </w:t>
            </w:r>
            <w:r w:rsidR="00F25830" w:rsidRPr="004B58D1">
              <w:rPr>
                <w:rFonts w:ascii="Calibri" w:eastAsia="Times New Roman" w:hAnsi="Calibri" w:cs="Calibri"/>
                <w:color w:val="000000" w:themeColor="text1"/>
                <w:lang w:eastAsia="en-AU"/>
              </w:rPr>
              <w:t xml:space="preserve">options </w:t>
            </w:r>
            <w:r w:rsidR="00AB4BF8" w:rsidRPr="004B58D1">
              <w:rPr>
                <w:rFonts w:ascii="Calibri" w:eastAsia="Times New Roman" w:hAnsi="Calibri" w:cs="Calibri"/>
                <w:color w:val="000000" w:themeColor="text1"/>
                <w:lang w:eastAsia="en-AU"/>
              </w:rPr>
              <w:t>o</w:t>
            </w:r>
            <w:r w:rsidR="00F25830" w:rsidRPr="004B58D1">
              <w:rPr>
                <w:rFonts w:ascii="Calibri" w:eastAsia="Times New Roman" w:hAnsi="Calibri" w:cs="Calibri"/>
                <w:color w:val="000000" w:themeColor="text1"/>
                <w:lang w:eastAsia="en-AU"/>
              </w:rPr>
              <w:t>f</w:t>
            </w:r>
            <w:r w:rsidR="00AB4BF8" w:rsidRPr="004B58D1">
              <w:rPr>
                <w:rFonts w:ascii="Calibri" w:eastAsia="Times New Roman" w:hAnsi="Calibri" w:cs="Calibri"/>
                <w:color w:val="000000" w:themeColor="text1"/>
                <w:lang w:eastAsia="en-AU"/>
              </w:rPr>
              <w:t xml:space="preserve"> how a systems reform approach can be taken to deliver an expanded Priority Reform 4 (i.e. shared access to data and embedding I</w:t>
            </w:r>
            <w:r w:rsidR="00942052" w:rsidRPr="004B58D1">
              <w:rPr>
                <w:rFonts w:ascii="Calibri" w:eastAsia="Times New Roman" w:hAnsi="Calibri" w:cs="Calibri"/>
                <w:color w:val="000000" w:themeColor="text1"/>
                <w:lang w:eastAsia="en-AU"/>
              </w:rPr>
              <w:t>ndigenous Data Sovereignty and Governance)</w:t>
            </w:r>
            <w:r w:rsidR="001A4958" w:rsidRPr="004B58D1">
              <w:rPr>
                <w:rFonts w:ascii="Calibri" w:eastAsia="Times New Roman" w:hAnsi="Calibri" w:cs="Calibri"/>
                <w:color w:val="000000" w:themeColor="text1"/>
                <w:lang w:eastAsia="en-AU"/>
              </w:rPr>
              <w:t>.</w:t>
            </w:r>
          </w:p>
        </w:tc>
      </w:tr>
    </w:tbl>
    <w:p w14:paraId="4EA6991C"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0"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ayout w:type="fixed"/>
        <w:tblCellMar>
          <w:left w:w="0" w:type="dxa"/>
          <w:right w:w="0" w:type="dxa"/>
        </w:tblCellMar>
        <w:tblLook w:val="04A0" w:firstRow="1" w:lastRow="0" w:firstColumn="1" w:lastColumn="0" w:noHBand="0" w:noVBand="1"/>
      </w:tblPr>
      <w:tblGrid>
        <w:gridCol w:w="2675"/>
        <w:gridCol w:w="1436"/>
        <w:gridCol w:w="7006"/>
        <w:gridCol w:w="3623"/>
      </w:tblGrid>
      <w:tr w:rsidR="006E763E" w:rsidRPr="004B58D1" w14:paraId="6A0CEE34" w14:textId="77777777" w:rsidTr="5ABF73BF">
        <w:tc>
          <w:tcPr>
            <w:tcW w:w="2675" w:type="dxa"/>
            <w:tcMar>
              <w:top w:w="80" w:type="dxa"/>
              <w:left w:w="80" w:type="dxa"/>
              <w:bottom w:w="80" w:type="dxa"/>
              <w:right w:w="80" w:type="dxa"/>
            </w:tcMar>
            <w:hideMark/>
          </w:tcPr>
          <w:p w14:paraId="013DF6A3" w14:textId="77777777" w:rsidR="006E763E" w:rsidRPr="004B58D1" w:rsidRDefault="006E763E" w:rsidP="00FA76C7">
            <w:pPr>
              <w:pStyle w:val="ListParagraph"/>
              <w:numPr>
                <w:ilvl w:val="1"/>
                <w:numId w:val="9"/>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Establish a Bureau of Indigenous </w:t>
            </w:r>
            <w:r w:rsidRPr="004B58D1">
              <w:rPr>
                <w:rFonts w:ascii="Calibri" w:eastAsia="Times New Roman" w:hAnsi="Calibri" w:cs="Calibri"/>
                <w:color w:val="000000" w:themeColor="text1"/>
                <w:lang w:val="en-US" w:eastAsia="en-AU"/>
              </w:rPr>
              <w:t>Data</w:t>
            </w:r>
          </w:p>
        </w:tc>
        <w:tc>
          <w:tcPr>
            <w:tcW w:w="1436" w:type="dxa"/>
          </w:tcPr>
          <w:p w14:paraId="412B78FF" w14:textId="77777777" w:rsidR="002B770F" w:rsidRPr="004B58D1" w:rsidRDefault="00770F1D"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Not agreed</w:t>
            </w:r>
          </w:p>
        </w:tc>
        <w:tc>
          <w:tcPr>
            <w:tcW w:w="7006" w:type="dxa"/>
          </w:tcPr>
          <w:p w14:paraId="3BCDA7CE" w14:textId="77777777" w:rsidR="00E9146A" w:rsidRPr="004B58D1" w:rsidRDefault="00131206"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Parties </w:t>
            </w:r>
            <w:r w:rsidR="00AB6C9B" w:rsidRPr="004B58D1">
              <w:rPr>
                <w:rFonts w:ascii="Calibri" w:eastAsia="Times New Roman" w:hAnsi="Calibri" w:cs="Calibri"/>
                <w:color w:val="000000" w:themeColor="text1"/>
                <w:lang w:eastAsia="en-AU"/>
              </w:rPr>
              <w:t>acknowledge insufficient progress</w:t>
            </w:r>
            <w:r w:rsidR="004C128C" w:rsidRPr="004B58D1">
              <w:rPr>
                <w:rFonts w:ascii="Calibri" w:eastAsia="Times New Roman" w:hAnsi="Calibri" w:cs="Calibri"/>
                <w:color w:val="000000" w:themeColor="text1"/>
                <w:lang w:eastAsia="en-AU"/>
              </w:rPr>
              <w:t xml:space="preserve"> on data development</w:t>
            </w:r>
            <w:r w:rsidR="00AB6C9B" w:rsidRPr="004B58D1">
              <w:rPr>
                <w:rFonts w:ascii="Calibri" w:eastAsia="Times New Roman" w:hAnsi="Calibri" w:cs="Calibri"/>
                <w:color w:val="000000" w:themeColor="text1"/>
                <w:lang w:eastAsia="en-AU"/>
              </w:rPr>
              <w:t xml:space="preserve"> </w:t>
            </w:r>
            <w:r w:rsidR="003979B4" w:rsidRPr="004B58D1">
              <w:rPr>
                <w:rFonts w:ascii="Calibri" w:eastAsia="Times New Roman" w:hAnsi="Calibri" w:cs="Calibri"/>
                <w:color w:val="000000" w:themeColor="text1"/>
                <w:lang w:eastAsia="en-AU"/>
              </w:rPr>
              <w:t>and</w:t>
            </w:r>
            <w:r w:rsidR="00AB6C9B"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 xml:space="preserve">agree </w:t>
            </w:r>
            <w:r w:rsidR="005F2262" w:rsidRPr="004B58D1">
              <w:rPr>
                <w:rFonts w:ascii="Calibri" w:eastAsia="Times New Roman" w:hAnsi="Calibri" w:cs="Calibri"/>
                <w:color w:val="000000" w:themeColor="text1"/>
                <w:lang w:eastAsia="en-AU"/>
              </w:rPr>
              <w:t>the functions outlined in the P</w:t>
            </w:r>
            <w:r w:rsidR="005F28FE" w:rsidRPr="004B58D1">
              <w:rPr>
                <w:rFonts w:ascii="Calibri" w:eastAsia="Times New Roman" w:hAnsi="Calibri" w:cs="Calibri"/>
                <w:color w:val="000000" w:themeColor="text1"/>
                <w:lang w:eastAsia="en-AU"/>
              </w:rPr>
              <w:t xml:space="preserve">roductivity </w:t>
            </w:r>
            <w:r w:rsidR="005F2262" w:rsidRPr="004B58D1">
              <w:rPr>
                <w:rFonts w:ascii="Calibri" w:eastAsia="Times New Roman" w:hAnsi="Calibri" w:cs="Calibri"/>
                <w:color w:val="000000" w:themeColor="text1"/>
                <w:lang w:eastAsia="en-AU"/>
              </w:rPr>
              <w:t>C</w:t>
            </w:r>
            <w:r w:rsidR="005F28FE" w:rsidRPr="004B58D1">
              <w:rPr>
                <w:rFonts w:ascii="Calibri" w:eastAsia="Times New Roman" w:hAnsi="Calibri" w:cs="Calibri"/>
                <w:color w:val="000000" w:themeColor="text1"/>
                <w:lang w:eastAsia="en-AU"/>
              </w:rPr>
              <w:t>ommission</w:t>
            </w:r>
            <w:r w:rsidR="005F2262" w:rsidRPr="004B58D1">
              <w:rPr>
                <w:rFonts w:ascii="Calibri" w:eastAsia="Times New Roman" w:hAnsi="Calibri" w:cs="Calibri"/>
                <w:color w:val="000000" w:themeColor="text1"/>
                <w:lang w:eastAsia="en-AU"/>
              </w:rPr>
              <w:t xml:space="preserve"> </w:t>
            </w:r>
            <w:r w:rsidR="005F28FE" w:rsidRPr="004B58D1">
              <w:rPr>
                <w:rFonts w:ascii="Calibri" w:eastAsia="Times New Roman" w:hAnsi="Calibri" w:cs="Calibri"/>
                <w:color w:val="000000" w:themeColor="text1"/>
                <w:lang w:eastAsia="en-AU"/>
              </w:rPr>
              <w:t xml:space="preserve">Review </w:t>
            </w:r>
            <w:r w:rsidRPr="004B58D1">
              <w:rPr>
                <w:rFonts w:ascii="Calibri" w:eastAsia="Times New Roman" w:hAnsi="Calibri" w:cs="Calibri"/>
                <w:color w:val="000000" w:themeColor="text1"/>
                <w:lang w:eastAsia="en-AU"/>
              </w:rPr>
              <w:t xml:space="preserve">would be a valuable </w:t>
            </w:r>
            <w:r w:rsidR="00A575B7" w:rsidRPr="004B58D1">
              <w:rPr>
                <w:rFonts w:ascii="Calibri" w:eastAsia="Times New Roman" w:hAnsi="Calibri" w:cs="Calibri"/>
                <w:color w:val="000000" w:themeColor="text1"/>
                <w:lang w:eastAsia="en-AU"/>
              </w:rPr>
              <w:t xml:space="preserve">addition to the </w:t>
            </w:r>
            <w:r w:rsidR="00D10B36" w:rsidRPr="004B58D1">
              <w:rPr>
                <w:rFonts w:ascii="Calibri" w:eastAsia="Times New Roman" w:hAnsi="Calibri" w:cs="Calibri"/>
                <w:color w:val="000000" w:themeColor="text1"/>
                <w:lang w:eastAsia="en-AU"/>
              </w:rPr>
              <w:t xml:space="preserve">Closing the Gap </w:t>
            </w:r>
            <w:r w:rsidR="007349AB" w:rsidRPr="004B58D1">
              <w:rPr>
                <w:rFonts w:ascii="Calibri" w:eastAsia="Times New Roman" w:hAnsi="Calibri" w:cs="Calibri"/>
                <w:color w:val="000000" w:themeColor="text1"/>
                <w:lang w:eastAsia="en-AU"/>
              </w:rPr>
              <w:t>framework</w:t>
            </w:r>
            <w:r w:rsidR="00F34F47" w:rsidRPr="004B58D1">
              <w:rPr>
                <w:rFonts w:ascii="Calibri" w:eastAsia="Times New Roman" w:hAnsi="Calibri" w:cs="Calibri"/>
                <w:color w:val="000000" w:themeColor="text1"/>
                <w:lang w:eastAsia="en-AU"/>
              </w:rPr>
              <w:t xml:space="preserve"> and </w:t>
            </w:r>
            <w:r w:rsidR="005F2262" w:rsidRPr="004B58D1">
              <w:rPr>
                <w:rFonts w:ascii="Calibri" w:eastAsia="Times New Roman" w:hAnsi="Calibri" w:cs="Calibri"/>
                <w:color w:val="000000" w:themeColor="text1"/>
                <w:lang w:eastAsia="en-AU"/>
              </w:rPr>
              <w:t>need to be implemented</w:t>
            </w:r>
            <w:r w:rsidR="007349AB" w:rsidRPr="004B58D1">
              <w:rPr>
                <w:rFonts w:ascii="Calibri" w:eastAsia="Times New Roman" w:hAnsi="Calibri" w:cs="Calibri"/>
                <w:color w:val="000000" w:themeColor="text1"/>
                <w:lang w:eastAsia="en-AU"/>
              </w:rPr>
              <w:t xml:space="preserve">. </w:t>
            </w:r>
          </w:p>
          <w:p w14:paraId="5BAB4E9E" w14:textId="77777777" w:rsidR="007349AB" w:rsidRPr="004B58D1" w:rsidRDefault="00770F1D"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Without pre-empting decisions of governments, </w:t>
            </w:r>
            <w:r w:rsidR="007349AB" w:rsidRPr="004B58D1">
              <w:rPr>
                <w:rFonts w:ascii="Calibri" w:eastAsia="Times New Roman" w:hAnsi="Calibri" w:cs="Calibri"/>
                <w:color w:val="000000" w:themeColor="text1"/>
                <w:lang w:eastAsia="en-AU"/>
              </w:rPr>
              <w:t xml:space="preserve">Parties </w:t>
            </w:r>
            <w:r w:rsidRPr="004B58D1">
              <w:rPr>
                <w:rFonts w:ascii="Calibri" w:eastAsia="Times New Roman" w:hAnsi="Calibri" w:cs="Calibri"/>
                <w:color w:val="000000" w:themeColor="text1"/>
                <w:lang w:eastAsia="en-AU"/>
              </w:rPr>
              <w:t>agree</w:t>
            </w:r>
            <w:r w:rsidR="00221CDE" w:rsidRPr="004B58D1">
              <w:rPr>
                <w:rFonts w:ascii="Calibri" w:eastAsia="Times New Roman" w:hAnsi="Calibri" w:cs="Calibri"/>
                <w:color w:val="000000" w:themeColor="text1"/>
                <w:lang w:eastAsia="en-AU"/>
              </w:rPr>
              <w:t xml:space="preserve"> to consult and consider scope and complex implementation requirements, including linkages with existing data work</w:t>
            </w:r>
            <w:r w:rsidR="006D68D6" w:rsidRPr="004B58D1">
              <w:rPr>
                <w:rFonts w:ascii="Calibri" w:eastAsia="Times New Roman" w:hAnsi="Calibri" w:cs="Calibri"/>
                <w:color w:val="000000" w:themeColor="text1"/>
                <w:lang w:eastAsia="en-AU"/>
              </w:rPr>
              <w:t xml:space="preserve">. </w:t>
            </w:r>
          </w:p>
          <w:p w14:paraId="55F3F9DC" w14:textId="77777777" w:rsidR="000C1FD3" w:rsidRPr="004B58D1" w:rsidRDefault="000C1FD3" w:rsidP="00FA76C7">
            <w:pPr>
              <w:spacing w:before="120" w:line="276" w:lineRule="auto"/>
              <w:rPr>
                <w:rFonts w:ascii="Calibri" w:hAnsi="Calibri" w:cs="Calibri"/>
                <w:lang w:eastAsia="en-AU"/>
              </w:rPr>
            </w:pPr>
          </w:p>
        </w:tc>
        <w:tc>
          <w:tcPr>
            <w:tcW w:w="3623" w:type="dxa"/>
          </w:tcPr>
          <w:p w14:paraId="0BC54D6F" w14:textId="77777777" w:rsidR="004C128C" w:rsidRPr="004B58D1" w:rsidRDefault="004D285E" w:rsidP="00FA76C7">
            <w:pPr>
              <w:spacing w:before="120" w:line="276" w:lineRule="auto"/>
              <w:ind w:left="57" w:right="57"/>
              <w:rPr>
                <w:rFonts w:ascii="Calibri" w:hAnsi="Calibri" w:cs="Calibri"/>
                <w:color w:val="000000" w:themeColor="text1"/>
                <w:lang w:eastAsia="en-AU"/>
              </w:rPr>
            </w:pPr>
            <w:r w:rsidRPr="004B58D1">
              <w:rPr>
                <w:rFonts w:ascii="Calibri" w:hAnsi="Calibri" w:cs="Calibri"/>
                <w:color w:val="000000" w:themeColor="text1"/>
                <w:lang w:eastAsia="en-AU"/>
              </w:rPr>
              <w:t xml:space="preserve">Jurisdictions to identify lead agencies and senior representatives to participate in </w:t>
            </w:r>
            <w:r w:rsidR="00790EB2" w:rsidRPr="004B58D1">
              <w:rPr>
                <w:rFonts w:ascii="Calibri" w:hAnsi="Calibri" w:cs="Calibri"/>
                <w:color w:val="000000" w:themeColor="text1"/>
                <w:lang w:eastAsia="en-AU"/>
              </w:rPr>
              <w:t xml:space="preserve">a </w:t>
            </w:r>
            <w:r w:rsidRPr="004B58D1">
              <w:rPr>
                <w:rFonts w:ascii="Calibri" w:hAnsi="Calibri" w:cs="Calibri"/>
                <w:color w:val="000000" w:themeColor="text1"/>
                <w:lang w:eastAsia="en-AU"/>
              </w:rPr>
              <w:t xml:space="preserve">Data Partnership </w:t>
            </w:r>
            <w:r w:rsidRPr="004B58D1">
              <w:rPr>
                <w:rFonts w:ascii="Calibri" w:eastAsia="Times New Roman" w:hAnsi="Calibri" w:cs="Calibri"/>
                <w:color w:val="000000" w:themeColor="text1"/>
                <w:lang w:eastAsia="en-AU"/>
              </w:rPr>
              <w:t>to accelerate progress on data development</w:t>
            </w:r>
            <w:r w:rsidRPr="004B58D1">
              <w:rPr>
                <w:rFonts w:ascii="Calibri" w:hAnsi="Calibri" w:cs="Calibri"/>
                <w:color w:val="000000" w:themeColor="text1"/>
                <w:lang w:eastAsia="en-AU"/>
              </w:rPr>
              <w:t xml:space="preserve">. </w:t>
            </w:r>
          </w:p>
          <w:p w14:paraId="2B384D01" w14:textId="77777777" w:rsidR="004D285E" w:rsidRPr="004B58D1" w:rsidRDefault="004D285E"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lang w:eastAsia="en-AU"/>
              </w:rPr>
              <w:t>Independent technical specialists to be invited to join</w:t>
            </w:r>
            <w:r w:rsidR="00790EB2" w:rsidRPr="004B58D1">
              <w:rPr>
                <w:rFonts w:ascii="Calibri" w:hAnsi="Calibri" w:cs="Calibri"/>
                <w:color w:val="000000" w:themeColor="text1"/>
                <w:lang w:eastAsia="en-AU"/>
              </w:rPr>
              <w:t xml:space="preserve"> the</w:t>
            </w:r>
            <w:r w:rsidRPr="004B58D1">
              <w:rPr>
                <w:rFonts w:ascii="Calibri" w:hAnsi="Calibri" w:cs="Calibri"/>
                <w:color w:val="000000" w:themeColor="text1"/>
                <w:lang w:eastAsia="en-AU"/>
              </w:rPr>
              <w:t xml:space="preserve"> Data Partnership.</w:t>
            </w:r>
          </w:p>
          <w:p w14:paraId="29EEE340" w14:textId="77777777" w:rsidR="004D285E" w:rsidRPr="004B58D1" w:rsidRDefault="00790EB2"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w:t>
            </w:r>
            <w:r w:rsidR="004D285E" w:rsidRPr="004B58D1">
              <w:rPr>
                <w:rFonts w:ascii="Calibri" w:eastAsia="Times New Roman" w:hAnsi="Calibri" w:cs="Calibri"/>
                <w:color w:val="000000" w:themeColor="text1"/>
                <w:lang w:eastAsia="en-AU"/>
              </w:rPr>
              <w:t>Data Partnership will develop draft Terms of Reference for Joint Council (out of session)</w:t>
            </w:r>
            <w:r w:rsidR="00065101" w:rsidRPr="004B58D1">
              <w:rPr>
                <w:rFonts w:ascii="Calibri" w:eastAsia="Times New Roman" w:hAnsi="Calibri" w:cs="Calibri"/>
                <w:color w:val="000000" w:themeColor="text1"/>
                <w:lang w:eastAsia="en-AU"/>
              </w:rPr>
              <w:t>.</w:t>
            </w:r>
          </w:p>
          <w:p w14:paraId="4C90D774" w14:textId="77777777" w:rsidR="004C128C" w:rsidRPr="004B58D1" w:rsidRDefault="00790EB2"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The </w:t>
            </w:r>
            <w:r w:rsidR="004D285E" w:rsidRPr="004B58D1">
              <w:rPr>
                <w:rFonts w:ascii="Calibri" w:hAnsi="Calibri" w:cs="Calibri"/>
                <w:color w:val="000000" w:themeColor="text1"/>
                <w:lang w:eastAsia="en-AU"/>
              </w:rPr>
              <w:t xml:space="preserve">Data Partnership </w:t>
            </w:r>
            <w:r w:rsidR="004C128C" w:rsidRPr="004B58D1">
              <w:rPr>
                <w:rFonts w:ascii="Calibri" w:eastAsia="Times New Roman" w:hAnsi="Calibri" w:cs="Calibri"/>
                <w:color w:val="000000" w:themeColor="text1"/>
                <w:lang w:eastAsia="en-AU"/>
              </w:rPr>
              <w:t>will consider the logistical, scope, roles and responsibilities, and resourcing complexities to support Indigenous Data Governance and Closing the Gap data development</w:t>
            </w:r>
            <w:r w:rsidR="00770F1D" w:rsidRPr="004B58D1">
              <w:rPr>
                <w:rFonts w:ascii="Calibri" w:eastAsia="Times New Roman" w:hAnsi="Calibri" w:cs="Calibri"/>
                <w:color w:val="000000" w:themeColor="text1"/>
                <w:lang w:eastAsia="en-AU"/>
              </w:rPr>
              <w:t>, including examining the option of a Bureau of Indigenous Data</w:t>
            </w:r>
            <w:r w:rsidR="004C128C" w:rsidRPr="004B58D1">
              <w:rPr>
                <w:rFonts w:ascii="Calibri" w:eastAsia="Times New Roman" w:hAnsi="Calibri" w:cs="Calibri"/>
                <w:color w:val="000000" w:themeColor="text1"/>
                <w:lang w:eastAsia="en-AU"/>
              </w:rPr>
              <w:t>.</w:t>
            </w:r>
          </w:p>
          <w:p w14:paraId="6BA668BC" w14:textId="77777777" w:rsidR="006E763E" w:rsidRPr="004B58D1" w:rsidRDefault="004D285E" w:rsidP="00FA76C7">
            <w:pPr>
              <w:spacing w:before="120" w:line="276" w:lineRule="auto"/>
              <w:ind w:left="57" w:right="57"/>
              <w:rPr>
                <w:rFonts w:ascii="Calibri" w:eastAsia="Times New Roman" w:hAnsi="Calibri" w:cs="Calibri"/>
                <w:color w:val="000000" w:themeColor="text1"/>
                <w:lang w:eastAsia="en-AU"/>
              </w:rPr>
            </w:pPr>
            <w:r w:rsidRPr="004B58D1">
              <w:rPr>
                <w:rFonts w:ascii="Calibri" w:hAnsi="Calibri" w:cs="Calibri"/>
                <w:color w:val="000000" w:themeColor="text1"/>
                <w:lang w:eastAsia="en-AU"/>
              </w:rPr>
              <w:t xml:space="preserve">Data Partnership </w:t>
            </w:r>
            <w:r w:rsidR="004C128C" w:rsidRPr="004B58D1">
              <w:rPr>
                <w:rFonts w:ascii="Calibri" w:eastAsia="Times New Roman" w:hAnsi="Calibri" w:cs="Calibri"/>
                <w:color w:val="000000" w:themeColor="text1"/>
                <w:lang w:eastAsia="en-AU"/>
              </w:rPr>
              <w:t xml:space="preserve">will provide initial recommendations to Joint Council </w:t>
            </w:r>
            <w:r w:rsidR="00B33A4E" w:rsidRPr="004B58D1">
              <w:rPr>
                <w:rFonts w:ascii="Calibri" w:eastAsia="Times New Roman" w:hAnsi="Calibri" w:cs="Calibri"/>
                <w:color w:val="000000" w:themeColor="text1"/>
                <w:lang w:eastAsia="en-AU"/>
              </w:rPr>
              <w:t>at the first meeting in 2025</w:t>
            </w:r>
            <w:r w:rsidR="00625CC5" w:rsidRPr="004B58D1">
              <w:rPr>
                <w:rFonts w:ascii="Calibri" w:eastAsia="Times New Roman" w:hAnsi="Calibri" w:cs="Calibri"/>
                <w:color w:val="000000" w:themeColor="text1"/>
                <w:lang w:eastAsia="en-AU"/>
              </w:rPr>
              <w:t xml:space="preserve"> (May or June).</w:t>
            </w:r>
          </w:p>
        </w:tc>
      </w:tr>
    </w:tbl>
    <w:p w14:paraId="0D1B2F1D" w14:textId="5D034BC9" w:rsidR="00905A8E" w:rsidRPr="004B58D1" w:rsidRDefault="5ABF73BF"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592D1A" w:rsidRPr="004B58D1" w14:paraId="79D61EAD" w14:textId="77777777" w:rsidTr="00852B2D">
        <w:trPr>
          <w:tblHeader/>
        </w:trPr>
        <w:tc>
          <w:tcPr>
            <w:tcW w:w="2694" w:type="dxa"/>
            <w:shd w:val="clear" w:color="auto" w:fill="034C75"/>
            <w:tcMar>
              <w:top w:w="80" w:type="dxa"/>
              <w:left w:w="80" w:type="dxa"/>
              <w:bottom w:w="80" w:type="dxa"/>
              <w:right w:w="80" w:type="dxa"/>
            </w:tcMar>
            <w:hideMark/>
          </w:tcPr>
          <w:p w14:paraId="66EB266D"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lastRenderedPageBreak/>
              <w:t>RECOMMENDATION</w:t>
            </w:r>
          </w:p>
        </w:tc>
        <w:tc>
          <w:tcPr>
            <w:tcW w:w="1417" w:type="dxa"/>
            <w:shd w:val="clear" w:color="auto" w:fill="034C75"/>
          </w:tcPr>
          <w:p w14:paraId="662E1AF5"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RESPONSE</w:t>
            </w:r>
          </w:p>
        </w:tc>
        <w:tc>
          <w:tcPr>
            <w:tcW w:w="6946" w:type="dxa"/>
            <w:shd w:val="clear" w:color="auto" w:fill="034C75"/>
          </w:tcPr>
          <w:p w14:paraId="11CD1068" w14:textId="1AE3291E"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COMMENT</w:t>
            </w:r>
          </w:p>
        </w:tc>
        <w:tc>
          <w:tcPr>
            <w:tcW w:w="3685" w:type="dxa"/>
            <w:shd w:val="clear" w:color="auto" w:fill="034C75"/>
          </w:tcPr>
          <w:p w14:paraId="02FB32BD" w14:textId="77777777" w:rsidR="00592D1A" w:rsidRPr="000E03EC" w:rsidRDefault="00592D1A" w:rsidP="00FA76C7">
            <w:pPr>
              <w:pStyle w:val="NoSpacing"/>
              <w:spacing w:before="120" w:line="276" w:lineRule="auto"/>
              <w:contextualSpacing w:val="0"/>
              <w:jc w:val="center"/>
              <w:rPr>
                <w:rFonts w:ascii="Calibri" w:hAnsi="Calibri" w:cs="Calibri"/>
                <w:b/>
                <w:bCs/>
                <w:color w:val="FFFFFF" w:themeColor="background1"/>
                <w:sz w:val="22"/>
                <w:szCs w:val="22"/>
                <w:lang w:eastAsia="en-AU"/>
              </w:rPr>
            </w:pPr>
            <w:r w:rsidRPr="000E03EC">
              <w:rPr>
                <w:rFonts w:ascii="Calibri" w:hAnsi="Calibri" w:cs="Calibri"/>
                <w:b/>
                <w:bCs/>
                <w:color w:val="FFFFFF" w:themeColor="background1"/>
                <w:sz w:val="22"/>
                <w:szCs w:val="22"/>
                <w:lang w:eastAsia="en-AU"/>
              </w:rPr>
              <w:t>IMPLEMENTATION &amp; MONITORING</w:t>
            </w:r>
          </w:p>
        </w:tc>
      </w:tr>
      <w:tr w:rsidR="00592D1A" w:rsidRPr="004B58D1" w14:paraId="6C088DF4" w14:textId="77777777" w:rsidTr="5ABF73BF">
        <w:tc>
          <w:tcPr>
            <w:tcW w:w="2694" w:type="dxa"/>
            <w:tcMar>
              <w:top w:w="80" w:type="dxa"/>
              <w:left w:w="80" w:type="dxa"/>
              <w:bottom w:w="80" w:type="dxa"/>
              <w:right w:w="80" w:type="dxa"/>
            </w:tcMar>
            <w:hideMark/>
          </w:tcPr>
          <w:p w14:paraId="2663BE86" w14:textId="77777777" w:rsidR="00592D1A" w:rsidRPr="004B58D1" w:rsidRDefault="00592D1A"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Government departments develop and execute a transformation strategy for the portfolio</w:t>
            </w:r>
          </w:p>
        </w:tc>
        <w:tc>
          <w:tcPr>
            <w:tcW w:w="1417" w:type="dxa"/>
          </w:tcPr>
          <w:p w14:paraId="5B90E5D5" w14:textId="77777777" w:rsidR="00592D1A" w:rsidRPr="004B58D1" w:rsidRDefault="002B5FF3"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60CDFD56" w14:textId="77777777" w:rsidR="00F5461E" w:rsidRPr="004B58D1" w:rsidRDefault="00F5461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to work with jurisdictional Peaks to </w:t>
            </w:r>
            <w:r w:rsidR="00871723" w:rsidRPr="004B58D1">
              <w:rPr>
                <w:rFonts w:ascii="Calibri" w:eastAsia="Times New Roman" w:hAnsi="Calibri" w:cs="Calibri"/>
                <w:color w:val="000000" w:themeColor="text1"/>
                <w:lang w:eastAsia="en-AU"/>
              </w:rPr>
              <w:t xml:space="preserve">enable </w:t>
            </w:r>
            <w:r w:rsidRPr="004B58D1">
              <w:rPr>
                <w:rFonts w:ascii="Calibri" w:eastAsia="Times New Roman" w:hAnsi="Calibri" w:cs="Calibri"/>
                <w:color w:val="000000" w:themeColor="text1"/>
                <w:lang w:eastAsia="en-AU"/>
              </w:rPr>
              <w:t>departments</w:t>
            </w:r>
            <w:r w:rsidR="00871723" w:rsidRPr="004B58D1">
              <w:rPr>
                <w:rFonts w:ascii="Calibri" w:eastAsia="Times New Roman" w:hAnsi="Calibri" w:cs="Calibri"/>
                <w:color w:val="000000" w:themeColor="text1"/>
                <w:lang w:eastAsia="en-AU"/>
              </w:rPr>
              <w:t xml:space="preserve"> to</w:t>
            </w:r>
            <w:r w:rsidR="00CF39C2" w:rsidRPr="004B58D1">
              <w:rPr>
                <w:rFonts w:ascii="Calibri" w:eastAsia="Times New Roman" w:hAnsi="Calibri" w:cs="Calibri"/>
                <w:color w:val="000000" w:themeColor="text1"/>
                <w:lang w:eastAsia="en-AU"/>
              </w:rPr>
              <w:t xml:space="preserve"> </w:t>
            </w:r>
            <w:r w:rsidR="00CF39C2" w:rsidRPr="004B58D1">
              <w:rPr>
                <w:rFonts w:ascii="Calibri" w:eastAsia="Calibri" w:hAnsi="Calibri" w:cs="Calibri"/>
                <w:color w:val="000000" w:themeColor="text1"/>
                <w:lang w:val="en-GB"/>
              </w:rPr>
              <w:t>have a clear forward-looking strategy to undertake the transformation required under the National Agreement. The strategy should</w:t>
            </w:r>
            <w:r w:rsidRPr="004B58D1">
              <w:rPr>
                <w:rFonts w:ascii="Calibri" w:eastAsia="Times New Roman" w:hAnsi="Calibri" w:cs="Calibri"/>
                <w:color w:val="000000" w:themeColor="text1"/>
                <w:lang w:eastAsia="en-AU"/>
              </w:rPr>
              <w:t xml:space="preserve"> appropriately assess the extent of institutional racism, unconscious bias, and </w:t>
            </w:r>
            <w:r w:rsidR="00CF39C2" w:rsidRPr="004B58D1">
              <w:rPr>
                <w:rFonts w:ascii="Calibri" w:eastAsia="Times New Roman" w:hAnsi="Calibri" w:cs="Calibri"/>
                <w:color w:val="000000" w:themeColor="text1"/>
                <w:lang w:eastAsia="en-AU"/>
              </w:rPr>
              <w:t xml:space="preserve">demonstrate </w:t>
            </w:r>
            <w:r w:rsidRPr="004B58D1">
              <w:rPr>
                <w:rFonts w:ascii="Calibri" w:eastAsia="Times New Roman" w:hAnsi="Calibri" w:cs="Calibri"/>
                <w:color w:val="000000" w:themeColor="text1"/>
                <w:lang w:eastAsia="en-AU"/>
              </w:rPr>
              <w:t>the department’s approach to engaging with Aboriginal and Torres Strait Islander people.</w:t>
            </w:r>
          </w:p>
          <w:p w14:paraId="597CA7BA" w14:textId="77777777" w:rsidR="00AC28E0" w:rsidRPr="004B58D1" w:rsidRDefault="00F5461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Government departments to develop a transformation strategy to address identified issues in a coordinated and comprehensive manner.</w:t>
            </w:r>
          </w:p>
        </w:tc>
        <w:tc>
          <w:tcPr>
            <w:tcW w:w="3685" w:type="dxa"/>
          </w:tcPr>
          <w:p w14:paraId="1E3B8275" w14:textId="77777777" w:rsidR="00592D1A" w:rsidRPr="004B58D1" w:rsidRDefault="00C8528C" w:rsidP="00FA76C7">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4F1B5DEC" w14:textId="77777777" w:rsidTr="5ABF73BF">
        <w:tc>
          <w:tcPr>
            <w:tcW w:w="2694" w:type="dxa"/>
            <w:tcMar>
              <w:top w:w="80" w:type="dxa"/>
              <w:left w:w="80" w:type="dxa"/>
              <w:bottom w:w="80" w:type="dxa"/>
              <w:right w:w="80" w:type="dxa"/>
            </w:tcMar>
            <w:hideMark/>
          </w:tcPr>
          <w:p w14:paraId="1F3AC679"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Review and update funding and contracting rules so that they explicitly incorporate accountability for funders to abide by the Priority Reforms in commissioning processes</w:t>
            </w:r>
          </w:p>
        </w:tc>
        <w:tc>
          <w:tcPr>
            <w:tcW w:w="1417" w:type="dxa"/>
          </w:tcPr>
          <w:p w14:paraId="2CDCDB1D"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FCEA221"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will review (and update where necessary) contracting rules to explicitly incorporate </w:t>
            </w:r>
            <w:r w:rsidR="006C2112" w:rsidRPr="004B58D1">
              <w:rPr>
                <w:rFonts w:ascii="Calibri" w:eastAsia="Times New Roman" w:hAnsi="Calibri" w:cs="Calibri"/>
                <w:color w:val="000000" w:themeColor="text1"/>
                <w:lang w:eastAsia="en-AU"/>
              </w:rPr>
              <w:t xml:space="preserve">accountability </w:t>
            </w:r>
            <w:r w:rsidR="00AE4376" w:rsidRPr="004B58D1">
              <w:rPr>
                <w:rFonts w:ascii="Calibri" w:eastAsia="Times New Roman" w:hAnsi="Calibri" w:cs="Calibri"/>
                <w:color w:val="000000" w:themeColor="text1"/>
                <w:lang w:eastAsia="en-AU"/>
              </w:rPr>
              <w:t xml:space="preserve">for </w:t>
            </w:r>
            <w:r w:rsidR="00871723" w:rsidRPr="004B58D1">
              <w:rPr>
                <w:rFonts w:ascii="Calibri" w:eastAsia="Times New Roman" w:hAnsi="Calibri" w:cs="Calibri"/>
                <w:color w:val="000000" w:themeColor="text1"/>
                <w:lang w:eastAsia="en-AU"/>
              </w:rPr>
              <w:t>embed</w:t>
            </w:r>
            <w:r w:rsidR="00AE4376" w:rsidRPr="004B58D1">
              <w:rPr>
                <w:rFonts w:ascii="Calibri" w:eastAsia="Times New Roman" w:hAnsi="Calibri" w:cs="Calibri"/>
                <w:color w:val="000000" w:themeColor="text1"/>
                <w:lang w:eastAsia="en-AU"/>
              </w:rPr>
              <w:t>ding</w:t>
            </w:r>
            <w:r w:rsidR="006C2112"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the Priority Reforms</w:t>
            </w:r>
            <w:r w:rsidR="00871723" w:rsidRPr="004B58D1">
              <w:rPr>
                <w:rFonts w:ascii="Calibri" w:eastAsia="Times New Roman" w:hAnsi="Calibri" w:cs="Calibri"/>
                <w:color w:val="000000" w:themeColor="text1"/>
                <w:lang w:eastAsia="en-AU"/>
              </w:rPr>
              <w:t xml:space="preserve"> into commissioning processes</w:t>
            </w:r>
            <w:r w:rsidRPr="004B58D1">
              <w:rPr>
                <w:rFonts w:ascii="Calibri" w:eastAsia="Times New Roman" w:hAnsi="Calibri" w:cs="Calibri"/>
                <w:color w:val="000000" w:themeColor="text1"/>
                <w:lang w:eastAsia="en-AU"/>
              </w:rPr>
              <w:t>.</w:t>
            </w:r>
          </w:p>
          <w:p w14:paraId="252EA77A"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09DBC4D9" w14:textId="77777777" w:rsidR="00625CC5" w:rsidRPr="004B58D1" w:rsidRDefault="00625CC5" w:rsidP="00FA76C7">
            <w:pPr>
              <w:spacing w:before="120" w:line="276" w:lineRule="auto"/>
              <w:ind w:left="57" w:right="113"/>
              <w:rPr>
                <w:rFonts w:ascii="Calibri" w:eastAsia="Times New Roman" w:hAnsi="Calibri" w:cs="Calibri"/>
                <w:color w:val="FF0000"/>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16FBAE4F" w14:textId="77777777" w:rsidTr="5ABF73BF">
        <w:tc>
          <w:tcPr>
            <w:tcW w:w="2694" w:type="dxa"/>
            <w:tcMar>
              <w:top w:w="80" w:type="dxa"/>
              <w:left w:w="80" w:type="dxa"/>
              <w:bottom w:w="80" w:type="dxa"/>
              <w:right w:w="80" w:type="dxa"/>
            </w:tcMar>
            <w:hideMark/>
          </w:tcPr>
          <w:p w14:paraId="67EEFD33"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Review and update Cabinet and Budget processes so that they explicitly promote, support and encourage the Priority Reforms</w:t>
            </w:r>
          </w:p>
        </w:tc>
        <w:tc>
          <w:tcPr>
            <w:tcW w:w="1417" w:type="dxa"/>
          </w:tcPr>
          <w:p w14:paraId="56747EE5"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4E34EA36"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 xml:space="preserve">will review (and update where necessary) Cabinet and Budget processes to explicitly promote </w:t>
            </w:r>
            <w:r w:rsidR="00871723" w:rsidRPr="004B58D1">
              <w:rPr>
                <w:rFonts w:ascii="Calibri" w:eastAsia="Times New Roman" w:hAnsi="Calibri" w:cs="Calibri"/>
                <w:color w:val="000000" w:themeColor="text1"/>
                <w:lang w:eastAsia="en-AU"/>
              </w:rPr>
              <w:t xml:space="preserve">and embed </w:t>
            </w:r>
            <w:r w:rsidRPr="004B58D1">
              <w:rPr>
                <w:rFonts w:ascii="Calibri" w:eastAsia="Times New Roman" w:hAnsi="Calibri" w:cs="Calibri"/>
                <w:color w:val="000000" w:themeColor="text1"/>
                <w:lang w:eastAsia="en-AU"/>
              </w:rPr>
              <w:t xml:space="preserve">the Priority Reforms. </w:t>
            </w:r>
          </w:p>
          <w:p w14:paraId="5F09FD58" w14:textId="77777777" w:rsidR="00625CC5" w:rsidRPr="004B58D1" w:rsidRDefault="00871723"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Additionally, t</w:t>
            </w:r>
            <w:r w:rsidR="00625CC5" w:rsidRPr="004B58D1">
              <w:rPr>
                <w:rFonts w:ascii="Calibri" w:eastAsia="Times New Roman" w:hAnsi="Calibri" w:cs="Calibri"/>
                <w:color w:val="000000" w:themeColor="text1"/>
                <w:lang w:eastAsia="en-AU"/>
              </w:rPr>
              <w:t>he review of existing processes will consider Cabinet and Budget submissions demonstrate the impacts of proposal</w:t>
            </w:r>
            <w:r w:rsidRPr="004B58D1">
              <w:rPr>
                <w:rFonts w:ascii="Calibri" w:eastAsia="Times New Roman" w:hAnsi="Calibri" w:cs="Calibri"/>
                <w:color w:val="000000" w:themeColor="text1"/>
                <w:lang w:eastAsia="en-AU"/>
              </w:rPr>
              <w:t>s</w:t>
            </w:r>
            <w:r w:rsidR="00625CC5" w:rsidRPr="004B58D1">
              <w:rPr>
                <w:rFonts w:ascii="Calibri" w:eastAsia="Times New Roman" w:hAnsi="Calibri" w:cs="Calibri"/>
                <w:color w:val="000000" w:themeColor="text1"/>
                <w:lang w:eastAsia="en-AU"/>
              </w:rPr>
              <w:t xml:space="preserve"> on Aboriginal and Torres Strait Islander people, and how the </w:t>
            </w:r>
            <w:r w:rsidRPr="004B58D1">
              <w:rPr>
                <w:rFonts w:ascii="Calibri" w:eastAsia="Times New Roman" w:hAnsi="Calibri" w:cs="Calibri"/>
                <w:color w:val="000000" w:themeColor="text1"/>
                <w:lang w:eastAsia="en-AU"/>
              </w:rPr>
              <w:t xml:space="preserve">relevant </w:t>
            </w:r>
            <w:r w:rsidR="00625CC5" w:rsidRPr="004B58D1">
              <w:rPr>
                <w:rFonts w:ascii="Calibri" w:eastAsia="Times New Roman" w:hAnsi="Calibri" w:cs="Calibri"/>
                <w:color w:val="000000" w:themeColor="text1"/>
                <w:lang w:eastAsia="en-AU"/>
              </w:rPr>
              <w:t>proposal</w:t>
            </w:r>
            <w:r w:rsidRPr="004B58D1">
              <w:rPr>
                <w:rFonts w:ascii="Calibri" w:eastAsia="Times New Roman" w:hAnsi="Calibri" w:cs="Calibri"/>
                <w:color w:val="000000" w:themeColor="text1"/>
                <w:lang w:eastAsia="en-AU"/>
              </w:rPr>
              <w:t>s</w:t>
            </w:r>
            <w:r w:rsidR="00625CC5" w:rsidRPr="004B58D1">
              <w:rPr>
                <w:rFonts w:ascii="Calibri" w:eastAsia="Times New Roman" w:hAnsi="Calibri" w:cs="Calibri"/>
                <w:color w:val="000000" w:themeColor="text1"/>
                <w:lang w:eastAsia="en-AU"/>
              </w:rPr>
              <w:t xml:space="preserve"> embed the Priority Reforms.</w:t>
            </w:r>
          </w:p>
        </w:tc>
        <w:tc>
          <w:tcPr>
            <w:tcW w:w="3685" w:type="dxa"/>
          </w:tcPr>
          <w:p w14:paraId="1D49101B"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bl>
    <w:p w14:paraId="547BCE13" w14:textId="77777777" w:rsidR="00BC1871" w:rsidRDefault="00BC1871">
      <w: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625CC5" w:rsidRPr="004B58D1" w14:paraId="774B1651" w14:textId="77777777" w:rsidTr="5ABF73BF">
        <w:tc>
          <w:tcPr>
            <w:tcW w:w="2694" w:type="dxa"/>
            <w:tcMar>
              <w:top w:w="80" w:type="dxa"/>
              <w:left w:w="80" w:type="dxa"/>
              <w:bottom w:w="80" w:type="dxa"/>
              <w:right w:w="80" w:type="dxa"/>
            </w:tcMar>
            <w:hideMark/>
          </w:tcPr>
          <w:p w14:paraId="505ABFA6" w14:textId="5F1C1C70"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Designate a senior leadership group to drive public sector change in each jurisdiction</w:t>
            </w:r>
          </w:p>
        </w:tc>
        <w:tc>
          <w:tcPr>
            <w:tcW w:w="1417" w:type="dxa"/>
          </w:tcPr>
          <w:p w14:paraId="447730ED"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B9CC3F9"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designate a senior leadership group in each jurisdiction with promoting and embedding the transformation of public sector systems and culture. </w:t>
            </w:r>
          </w:p>
          <w:p w14:paraId="3816F30F"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designated senior leadership group will meet with the Peaks and any other relevant Aboriginal and Torres Strait Islander peak bodies at least twice per year.</w:t>
            </w:r>
          </w:p>
        </w:tc>
        <w:tc>
          <w:tcPr>
            <w:tcW w:w="3685" w:type="dxa"/>
          </w:tcPr>
          <w:p w14:paraId="63776ADA"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r w:rsidR="00625CC5" w:rsidRPr="004B58D1" w14:paraId="60F15853" w14:textId="77777777" w:rsidTr="5ABF73BF">
        <w:tc>
          <w:tcPr>
            <w:tcW w:w="2694" w:type="dxa"/>
            <w:tcMar>
              <w:top w:w="80" w:type="dxa"/>
              <w:left w:w="80" w:type="dxa"/>
              <w:bottom w:w="80" w:type="dxa"/>
              <w:right w:w="80" w:type="dxa"/>
            </w:tcMar>
          </w:tcPr>
          <w:p w14:paraId="16A41B90" w14:textId="77777777" w:rsidR="00625CC5" w:rsidRPr="004B58D1" w:rsidRDefault="00625CC5" w:rsidP="00FA76C7">
            <w:pPr>
              <w:pStyle w:val="ListParagraph"/>
              <w:numPr>
                <w:ilvl w:val="1"/>
                <w:numId w:val="10"/>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Embed responsibility for improving cultural capability and relationships with Aboriginal and Torres Strait Islander people into public sector employment requirements</w:t>
            </w:r>
          </w:p>
        </w:tc>
        <w:tc>
          <w:tcPr>
            <w:tcW w:w="1417" w:type="dxa"/>
          </w:tcPr>
          <w:p w14:paraId="30C219C9"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1640FE2" w14:textId="77777777" w:rsidR="00625CC5" w:rsidRPr="004B58D1" w:rsidRDefault="00625CC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to review and amend employment requirements for public sector CEOs, executive and employees to align with the National Agreement.</w:t>
            </w:r>
          </w:p>
          <w:p w14:paraId="16C21F1B" w14:textId="77777777" w:rsidR="00321E83" w:rsidRPr="004B58D1" w:rsidRDefault="00871723" w:rsidP="00FA76C7">
            <w:pPr>
              <w:spacing w:before="120" w:line="276" w:lineRule="auto"/>
              <w:ind w:left="57" w:right="57"/>
              <w:rPr>
                <w:rFonts w:ascii="Calibri" w:hAnsi="Calibri" w:cs="Calibri"/>
                <w:color w:val="000000"/>
                <w:lang w:eastAsia="en-AU"/>
              </w:rPr>
            </w:pPr>
            <w:r w:rsidRPr="004B58D1">
              <w:rPr>
                <w:rFonts w:ascii="Calibri" w:hAnsi="Calibri" w:cs="Calibri"/>
                <w:color w:val="000000"/>
                <w:lang w:eastAsia="en-AU"/>
              </w:rPr>
              <w:t>Governments will</w:t>
            </w:r>
            <w:r w:rsidR="00744827" w:rsidRPr="004B58D1">
              <w:rPr>
                <w:rFonts w:ascii="Calibri" w:hAnsi="Calibri" w:cs="Calibri"/>
                <w:color w:val="000000"/>
                <w:lang w:eastAsia="en-AU"/>
              </w:rPr>
              <w:t xml:space="preserve"> </w:t>
            </w:r>
            <w:r w:rsidRPr="004B58D1">
              <w:rPr>
                <w:rFonts w:ascii="Calibri" w:hAnsi="Calibri" w:cs="Calibri"/>
                <w:color w:val="000000"/>
                <w:lang w:eastAsia="en-AU"/>
              </w:rPr>
              <w:t>strengthen the cultural capabil</w:t>
            </w:r>
            <w:r w:rsidR="00A60F08" w:rsidRPr="004B58D1">
              <w:rPr>
                <w:rFonts w:ascii="Calibri" w:hAnsi="Calibri" w:cs="Calibri"/>
                <w:color w:val="000000"/>
                <w:lang w:eastAsia="en-AU"/>
              </w:rPr>
              <w:t xml:space="preserve">ity of all public sector staff including the requirement </w:t>
            </w:r>
            <w:r w:rsidR="00321E83" w:rsidRPr="004B58D1">
              <w:rPr>
                <w:rFonts w:ascii="Calibri" w:eastAsia="Times New Roman" w:hAnsi="Calibri" w:cs="Calibri"/>
                <w:color w:val="000000" w:themeColor="text1"/>
                <w:lang w:eastAsia="en-AU"/>
              </w:rPr>
              <w:t xml:space="preserve">to continually demonstrate </w:t>
            </w:r>
            <w:r w:rsidR="00A60F08" w:rsidRPr="004B58D1">
              <w:rPr>
                <w:rFonts w:ascii="Calibri" w:eastAsia="Times New Roman" w:hAnsi="Calibri" w:cs="Calibri"/>
                <w:color w:val="000000" w:themeColor="text1"/>
                <w:lang w:eastAsia="en-AU"/>
              </w:rPr>
              <w:t>public service staff</w:t>
            </w:r>
            <w:r w:rsidR="00321E83" w:rsidRPr="004B58D1">
              <w:rPr>
                <w:rFonts w:ascii="Calibri" w:eastAsia="Times New Roman" w:hAnsi="Calibri" w:cs="Calibri"/>
                <w:color w:val="000000" w:themeColor="text1"/>
                <w:lang w:eastAsia="en-AU"/>
              </w:rPr>
              <w:t xml:space="preserve"> have sought to: </w:t>
            </w:r>
          </w:p>
          <w:p w14:paraId="303005A8"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improve their cultural capability </w:t>
            </w:r>
          </w:p>
          <w:p w14:paraId="3D55D65F"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understand Aboriginal and Torres Strait Islander history and context </w:t>
            </w:r>
          </w:p>
          <w:p w14:paraId="210DDA46"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eliminate institutional racism </w:t>
            </w:r>
          </w:p>
          <w:p w14:paraId="2B7B6827" w14:textId="77777777" w:rsidR="00321E83"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develop relationships with Aboriginal and Torres Strait Islander people</w:t>
            </w:r>
          </w:p>
          <w:p w14:paraId="385766E7" w14:textId="77777777" w:rsidR="006403F9" w:rsidRPr="004B58D1" w:rsidRDefault="00321E83" w:rsidP="00FA76C7">
            <w:pPr>
              <w:pStyle w:val="ListParagraph"/>
              <w:numPr>
                <w:ilvl w:val="0"/>
                <w:numId w:val="24"/>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support the principles outlined in the National Agreement on Closing the Gap.</w:t>
            </w:r>
          </w:p>
        </w:tc>
        <w:tc>
          <w:tcPr>
            <w:tcW w:w="3685" w:type="dxa"/>
          </w:tcPr>
          <w:p w14:paraId="0C137161" w14:textId="77777777" w:rsidR="00625CC5"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w:t>
            </w:r>
            <w:r w:rsidRPr="004B58D1">
              <w:rPr>
                <w:rFonts w:ascii="Calibri" w:eastAsia="Times New Roman" w:hAnsi="Calibri" w:cs="Calibri"/>
                <w:color w:val="000000" w:themeColor="text1"/>
                <w:lang w:eastAsia="en-AU"/>
              </w:rPr>
              <w:t xml:space="preserve"> to </w:t>
            </w:r>
            <w:r w:rsidRPr="004B58D1">
              <w:rPr>
                <w:rFonts w:ascii="Calibri" w:eastAsia="Times New Roman" w:hAnsi="Calibri" w:cs="Calibri"/>
                <w:bCs/>
                <w:color w:val="000000" w:themeColor="text1"/>
                <w:lang w:eastAsia="en-AU"/>
              </w:rPr>
              <w:t>report on action taken in their Closing the Gap annual reports including outcomes achieved.</w:t>
            </w:r>
          </w:p>
        </w:tc>
      </w:tr>
    </w:tbl>
    <w:p w14:paraId="25D649F0" w14:textId="48AB5BEA" w:rsidR="001653F6" w:rsidRPr="004B58D1" w:rsidRDefault="001653F6" w:rsidP="00FA76C7">
      <w:pPr>
        <w:spacing w:before="120" w:line="276" w:lineRule="auto"/>
        <w:rPr>
          <w:rFonts w:ascii="Calibri" w:hAnsi="Calibri" w:cs="Calibri"/>
        </w:rPr>
      </w:pPr>
    </w:p>
    <w:p w14:paraId="15E59025"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AF610C" w:rsidRPr="004B58D1" w14:paraId="1029493D" w14:textId="77777777" w:rsidTr="02D444BD">
        <w:trPr>
          <w:tblHeader/>
        </w:trPr>
        <w:tc>
          <w:tcPr>
            <w:tcW w:w="2694" w:type="dxa"/>
            <w:shd w:val="clear" w:color="auto" w:fill="034C75"/>
            <w:tcMar>
              <w:top w:w="80" w:type="dxa"/>
              <w:left w:w="80" w:type="dxa"/>
              <w:bottom w:w="80" w:type="dxa"/>
              <w:right w:w="80" w:type="dxa"/>
            </w:tcMar>
            <w:hideMark/>
          </w:tcPr>
          <w:p w14:paraId="28DF313D"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lastRenderedPageBreak/>
              <w:t>RECOMMENDATION</w:t>
            </w:r>
          </w:p>
        </w:tc>
        <w:tc>
          <w:tcPr>
            <w:tcW w:w="1417" w:type="dxa"/>
            <w:shd w:val="clear" w:color="auto" w:fill="034C75"/>
          </w:tcPr>
          <w:p w14:paraId="1570BBB7"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RESPONSE</w:t>
            </w:r>
          </w:p>
        </w:tc>
        <w:tc>
          <w:tcPr>
            <w:tcW w:w="6946" w:type="dxa"/>
            <w:shd w:val="clear" w:color="auto" w:fill="034C75"/>
          </w:tcPr>
          <w:p w14:paraId="20DE2B0E" w14:textId="0DDEFDA0"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COMMENT</w:t>
            </w:r>
          </w:p>
        </w:tc>
        <w:tc>
          <w:tcPr>
            <w:tcW w:w="3685" w:type="dxa"/>
            <w:shd w:val="clear" w:color="auto" w:fill="034C75"/>
          </w:tcPr>
          <w:p w14:paraId="06268E2F" w14:textId="77777777" w:rsidR="00AF610C" w:rsidRPr="00EA5B65" w:rsidRDefault="00AF610C" w:rsidP="00EA5B65">
            <w:pPr>
              <w:pStyle w:val="NoSpacing"/>
              <w:spacing w:before="120" w:line="276" w:lineRule="auto"/>
              <w:contextualSpacing w:val="0"/>
              <w:jc w:val="center"/>
              <w:rPr>
                <w:rFonts w:ascii="Calibri" w:hAnsi="Calibri" w:cs="Calibri"/>
                <w:b/>
                <w:bCs/>
                <w:color w:val="FFFFFF" w:themeColor="background1"/>
                <w:sz w:val="22"/>
                <w:szCs w:val="22"/>
                <w:lang w:eastAsia="en-AU"/>
              </w:rPr>
            </w:pPr>
            <w:r w:rsidRPr="00EA5B65">
              <w:rPr>
                <w:rFonts w:ascii="Calibri" w:hAnsi="Calibri" w:cs="Calibri"/>
                <w:b/>
                <w:bCs/>
                <w:color w:val="FFFFFF" w:themeColor="background1"/>
                <w:sz w:val="22"/>
                <w:szCs w:val="22"/>
                <w:lang w:eastAsia="en-AU"/>
              </w:rPr>
              <w:t>IMPLEMENTATION &amp; MONITORING</w:t>
            </w:r>
          </w:p>
        </w:tc>
      </w:tr>
      <w:tr w:rsidR="00592D1A" w:rsidRPr="004B58D1" w14:paraId="66A9B9BC" w14:textId="77777777" w:rsidTr="02D444BD">
        <w:tc>
          <w:tcPr>
            <w:tcW w:w="2694" w:type="dxa"/>
            <w:tcMar>
              <w:top w:w="80" w:type="dxa"/>
              <w:left w:w="80" w:type="dxa"/>
              <w:bottom w:w="80" w:type="dxa"/>
              <w:right w:w="80" w:type="dxa"/>
            </w:tcMar>
            <w:hideMark/>
          </w:tcPr>
          <w:p w14:paraId="1AEB6A6D" w14:textId="6DC57448"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2D444BD">
              <w:rPr>
                <w:rFonts w:ascii="Calibri" w:eastAsia="Times New Roman" w:hAnsi="Calibri" w:cs="Calibri"/>
                <w:color w:val="000000" w:themeColor="text1"/>
                <w:lang w:eastAsia="en-AU"/>
              </w:rPr>
              <w:t xml:space="preserve">Establish the </w:t>
            </w:r>
            <w:r w:rsidR="001E0AA8">
              <w:rPr>
                <w:rFonts w:ascii="Calibri" w:eastAsia="Times New Roman" w:hAnsi="Calibri" w:cs="Calibri"/>
                <w:color w:val="000000" w:themeColor="text1"/>
                <w:lang w:eastAsia="en-AU"/>
              </w:rPr>
              <w:t>i</w:t>
            </w:r>
            <w:r w:rsidRPr="02D444BD">
              <w:rPr>
                <w:rFonts w:ascii="Calibri" w:eastAsia="Times New Roman" w:hAnsi="Calibri" w:cs="Calibri"/>
                <w:color w:val="000000" w:themeColor="text1"/>
                <w:lang w:eastAsia="en-AU"/>
              </w:rPr>
              <w:t xml:space="preserve">ndependent </w:t>
            </w:r>
            <w:r w:rsidR="001E0AA8">
              <w:rPr>
                <w:rFonts w:ascii="Calibri" w:eastAsia="Times New Roman" w:hAnsi="Calibri" w:cs="Calibri"/>
                <w:color w:val="000000" w:themeColor="text1"/>
                <w:lang w:eastAsia="en-AU"/>
              </w:rPr>
              <w:t>m</w:t>
            </w:r>
            <w:r w:rsidRPr="02D444BD">
              <w:rPr>
                <w:rFonts w:ascii="Calibri" w:eastAsia="Times New Roman" w:hAnsi="Calibri" w:cs="Calibri"/>
                <w:color w:val="000000" w:themeColor="text1"/>
                <w:lang w:eastAsia="en-AU"/>
              </w:rPr>
              <w:t>echanism in each jurisdiction without further delay</w:t>
            </w:r>
          </w:p>
        </w:tc>
        <w:tc>
          <w:tcPr>
            <w:tcW w:w="1417" w:type="dxa"/>
          </w:tcPr>
          <w:p w14:paraId="545E9317"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4B3DBBBC" w14:textId="77777777" w:rsidR="0086530B" w:rsidRPr="004B58D1" w:rsidRDefault="005F0745"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Australian, state and territory governments will prioritise establishment of an independent mechanism for their jurisdiction</w:t>
            </w:r>
            <w:r w:rsidR="0044662C" w:rsidRPr="004B58D1">
              <w:rPr>
                <w:rFonts w:ascii="Calibri" w:eastAsia="Times New Roman" w:hAnsi="Calibri" w:cs="Calibri"/>
                <w:color w:val="000000" w:themeColor="text1"/>
                <w:lang w:eastAsia="en-AU"/>
              </w:rPr>
              <w:t>,</w:t>
            </w:r>
            <w:r w:rsidRPr="004B58D1">
              <w:rPr>
                <w:rFonts w:ascii="Calibri" w:eastAsia="Times New Roman" w:hAnsi="Calibri" w:cs="Calibri"/>
                <w:color w:val="000000" w:themeColor="text1"/>
                <w:lang w:eastAsia="en-AU"/>
              </w:rPr>
              <w:t xml:space="preserve"> to</w:t>
            </w:r>
            <w:r w:rsidR="003E5941"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oversee the implementation of Priority Reform 3</w:t>
            </w:r>
            <w:r w:rsidR="003E5941" w:rsidRPr="004B58D1">
              <w:rPr>
                <w:rFonts w:ascii="Calibri" w:eastAsia="Times New Roman" w:hAnsi="Calibri" w:cs="Calibri"/>
                <w:color w:val="000000" w:themeColor="text1"/>
                <w:lang w:eastAsia="en-AU"/>
              </w:rPr>
              <w:t xml:space="preserve">, </w:t>
            </w:r>
            <w:r w:rsidRPr="004B58D1">
              <w:rPr>
                <w:rFonts w:ascii="Calibri" w:eastAsia="Times New Roman" w:hAnsi="Calibri" w:cs="Calibri"/>
                <w:color w:val="000000" w:themeColor="text1"/>
                <w:lang w:eastAsia="en-AU"/>
              </w:rPr>
              <w:t>with the design to be undertaken in partnership</w:t>
            </w:r>
            <w:r w:rsidR="003E5941" w:rsidRPr="004B58D1">
              <w:rPr>
                <w:rFonts w:ascii="Calibri" w:eastAsia="Times New Roman" w:hAnsi="Calibri" w:cs="Calibri"/>
                <w:color w:val="000000" w:themeColor="text1"/>
                <w:lang w:eastAsia="en-AU"/>
              </w:rPr>
              <w:t>.</w:t>
            </w:r>
          </w:p>
          <w:p w14:paraId="1A580818" w14:textId="4BEE0764" w:rsidR="00897435" w:rsidRPr="004B58D1" w:rsidRDefault="00A437D2" w:rsidP="00FA76C7">
            <w:pPr>
              <w:spacing w:before="120" w:line="276" w:lineRule="auto"/>
              <w:ind w:left="57" w:right="57"/>
              <w:rPr>
                <w:rFonts w:ascii="Calibri" w:eastAsia="Times New Roman" w:hAnsi="Calibri" w:cs="Calibri"/>
                <w:color w:val="000000" w:themeColor="text1"/>
                <w:lang w:eastAsia="en-AU"/>
              </w:rPr>
            </w:pPr>
            <w:r w:rsidRPr="02D444BD">
              <w:rPr>
                <w:rFonts w:ascii="Calibri" w:eastAsia="Times New Roman" w:hAnsi="Calibri" w:cs="Calibri"/>
                <w:color w:val="000000" w:themeColor="text1"/>
                <w:lang w:eastAsia="en-AU"/>
              </w:rPr>
              <w:t>T</w:t>
            </w:r>
            <w:r w:rsidR="003E5941" w:rsidRPr="02D444BD">
              <w:rPr>
                <w:rFonts w:ascii="Calibri" w:eastAsia="Times New Roman" w:hAnsi="Calibri" w:cs="Calibri"/>
                <w:color w:val="000000" w:themeColor="text1"/>
                <w:lang w:eastAsia="en-AU"/>
              </w:rPr>
              <w:t>he expansion</w:t>
            </w:r>
            <w:r w:rsidRPr="02D444BD">
              <w:rPr>
                <w:rFonts w:ascii="Calibri" w:eastAsia="Times New Roman" w:hAnsi="Calibri" w:cs="Calibri"/>
                <w:color w:val="000000" w:themeColor="text1"/>
                <w:lang w:eastAsia="en-AU"/>
              </w:rPr>
              <w:t xml:space="preserve"> of </w:t>
            </w:r>
            <w:r w:rsidR="001E0AA8">
              <w:rPr>
                <w:rFonts w:ascii="Calibri" w:eastAsia="Times New Roman" w:hAnsi="Calibri" w:cs="Calibri"/>
                <w:color w:val="000000" w:themeColor="text1"/>
                <w:lang w:eastAsia="en-AU"/>
              </w:rPr>
              <w:t>i</w:t>
            </w:r>
            <w:r w:rsidRPr="02D444BD">
              <w:rPr>
                <w:rFonts w:ascii="Calibri" w:eastAsia="Times New Roman" w:hAnsi="Calibri" w:cs="Calibri"/>
                <w:color w:val="000000" w:themeColor="text1"/>
                <w:lang w:eastAsia="en-AU"/>
              </w:rPr>
              <w:t xml:space="preserve">ndependent </w:t>
            </w:r>
            <w:r w:rsidR="001E0AA8">
              <w:rPr>
                <w:rFonts w:ascii="Calibri" w:eastAsia="Times New Roman" w:hAnsi="Calibri" w:cs="Calibri"/>
                <w:color w:val="000000" w:themeColor="text1"/>
                <w:lang w:eastAsia="en-AU"/>
              </w:rPr>
              <w:t>m</w:t>
            </w:r>
            <w:r w:rsidRPr="02D444BD">
              <w:rPr>
                <w:rFonts w:ascii="Calibri" w:eastAsia="Times New Roman" w:hAnsi="Calibri" w:cs="Calibri"/>
                <w:color w:val="000000" w:themeColor="text1"/>
                <w:lang w:eastAsia="en-AU"/>
              </w:rPr>
              <w:t>echanisms</w:t>
            </w:r>
            <w:r w:rsidR="003E5941" w:rsidRPr="02D444BD">
              <w:rPr>
                <w:rFonts w:ascii="Calibri" w:eastAsia="Times New Roman" w:hAnsi="Calibri" w:cs="Calibri"/>
                <w:color w:val="000000" w:themeColor="text1"/>
                <w:lang w:eastAsia="en-AU"/>
              </w:rPr>
              <w:t xml:space="preserve"> to </w:t>
            </w:r>
            <w:r w:rsidRPr="02D444BD">
              <w:rPr>
                <w:rFonts w:ascii="Calibri" w:eastAsia="Times New Roman" w:hAnsi="Calibri" w:cs="Calibri"/>
                <w:color w:val="000000" w:themeColor="text1"/>
                <w:lang w:eastAsia="en-AU"/>
              </w:rPr>
              <w:t xml:space="preserve">include </w:t>
            </w:r>
            <w:r w:rsidR="003E5941" w:rsidRPr="02D444BD">
              <w:rPr>
                <w:rFonts w:ascii="Calibri" w:eastAsia="Times New Roman" w:hAnsi="Calibri" w:cs="Calibri"/>
                <w:color w:val="000000" w:themeColor="text1"/>
                <w:lang w:eastAsia="en-AU"/>
              </w:rPr>
              <w:t>all Priority Reforms</w:t>
            </w:r>
            <w:r w:rsidRPr="02D444BD">
              <w:rPr>
                <w:rFonts w:ascii="Calibri" w:eastAsia="Times New Roman" w:hAnsi="Calibri" w:cs="Calibri"/>
                <w:color w:val="000000" w:themeColor="text1"/>
                <w:lang w:eastAsia="en-AU"/>
              </w:rPr>
              <w:t xml:space="preserve"> require</w:t>
            </w:r>
            <w:r w:rsidR="001E038E" w:rsidRPr="02D444BD">
              <w:rPr>
                <w:rFonts w:ascii="Calibri" w:eastAsia="Times New Roman" w:hAnsi="Calibri" w:cs="Calibri"/>
                <w:color w:val="000000" w:themeColor="text1"/>
                <w:lang w:eastAsia="en-AU"/>
              </w:rPr>
              <w:t>s</w:t>
            </w:r>
            <w:r w:rsidR="00744827" w:rsidRPr="02D444BD">
              <w:rPr>
                <w:rFonts w:ascii="Calibri" w:eastAsia="Times New Roman" w:hAnsi="Calibri" w:cs="Calibri"/>
                <w:color w:val="000000" w:themeColor="text1"/>
                <w:lang w:eastAsia="en-AU"/>
              </w:rPr>
              <w:t xml:space="preserve"> further consideration.</w:t>
            </w:r>
            <w:r w:rsidR="003E5941" w:rsidRPr="02D444BD">
              <w:rPr>
                <w:rFonts w:ascii="Calibri" w:eastAsia="Times New Roman" w:hAnsi="Calibri" w:cs="Calibri"/>
                <w:color w:val="000000" w:themeColor="text1"/>
                <w:lang w:eastAsia="en-AU"/>
              </w:rPr>
              <w:t xml:space="preserve"> </w:t>
            </w:r>
          </w:p>
          <w:p w14:paraId="3E3B50AB" w14:textId="77777777" w:rsidR="00F45518" w:rsidRPr="004B58D1" w:rsidRDefault="00F45518" w:rsidP="00FA76C7">
            <w:pPr>
              <w:spacing w:before="120" w:line="276" w:lineRule="auto"/>
              <w:ind w:left="57" w:right="57"/>
              <w:rPr>
                <w:rFonts w:ascii="Calibri" w:eastAsia="Times New Roman" w:hAnsi="Calibri" w:cs="Calibri"/>
                <w:color w:val="000000" w:themeColor="text1"/>
                <w:highlight w:val="yellow"/>
                <w:lang w:eastAsia="en-AU"/>
              </w:rPr>
            </w:pPr>
          </w:p>
        </w:tc>
        <w:tc>
          <w:tcPr>
            <w:tcW w:w="3685" w:type="dxa"/>
          </w:tcPr>
          <w:p w14:paraId="049282B2" w14:textId="77777777" w:rsidR="003E5941" w:rsidRPr="004B58D1" w:rsidRDefault="003E5941"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Jurisdictions</w:t>
            </w:r>
            <w:r w:rsidR="00CF39C2" w:rsidRPr="004B58D1">
              <w:rPr>
                <w:rFonts w:ascii="Calibri" w:eastAsia="Times New Roman" w:hAnsi="Calibri" w:cs="Calibri"/>
                <w:color w:val="000000" w:themeColor="text1"/>
                <w:lang w:eastAsia="en-AU"/>
              </w:rPr>
              <w:t xml:space="preserve"> will provide </w:t>
            </w:r>
            <w:r w:rsidR="00F45518" w:rsidRPr="004B58D1">
              <w:rPr>
                <w:rFonts w:ascii="Calibri" w:eastAsia="Times New Roman" w:hAnsi="Calibri" w:cs="Calibri"/>
                <w:color w:val="000000" w:themeColor="text1"/>
                <w:lang w:eastAsia="en-AU"/>
              </w:rPr>
              <w:t>to Joint Council by the first meeting in 2025</w:t>
            </w:r>
            <w:r w:rsidR="00CF39C2" w:rsidRPr="004B58D1">
              <w:rPr>
                <w:rFonts w:ascii="Calibri" w:eastAsia="Times New Roman" w:hAnsi="Calibri" w:cs="Calibri"/>
                <w:color w:val="000000" w:themeColor="text1"/>
                <w:lang w:eastAsia="en-AU"/>
              </w:rPr>
              <w:t xml:space="preserve"> (May or June)</w:t>
            </w:r>
          </w:p>
          <w:p w14:paraId="03ACA096" w14:textId="77777777" w:rsidR="003E5941" w:rsidRPr="004B58D1" w:rsidRDefault="003E5941"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an update on progress to establish an Independent Mechanism to monitor Priority Reform 3</w:t>
            </w:r>
          </w:p>
          <w:p w14:paraId="10995DA2" w14:textId="2827DE9D" w:rsidR="00897435" w:rsidRPr="004B58D1" w:rsidRDefault="00C8404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their c</w:t>
            </w:r>
            <w:r w:rsidR="0060521E" w:rsidRPr="004B58D1">
              <w:rPr>
                <w:rFonts w:ascii="Calibri" w:eastAsia="Times New Roman" w:hAnsi="Calibri" w:cs="Calibri"/>
                <w:color w:val="000000" w:themeColor="text1"/>
                <w:lang w:eastAsia="en-AU"/>
              </w:rPr>
              <w:t xml:space="preserve">onsiderations on an expanded </w:t>
            </w:r>
            <w:r w:rsidR="001E0AA8">
              <w:rPr>
                <w:rFonts w:ascii="Calibri" w:eastAsia="Times New Roman" w:hAnsi="Calibri" w:cs="Calibri"/>
                <w:color w:val="000000" w:themeColor="text1"/>
                <w:lang w:eastAsia="en-AU"/>
              </w:rPr>
              <w:t>i</w:t>
            </w:r>
            <w:r w:rsidR="0044662C" w:rsidRPr="004B58D1">
              <w:rPr>
                <w:rFonts w:ascii="Calibri" w:eastAsia="Times New Roman" w:hAnsi="Calibri" w:cs="Calibri"/>
                <w:color w:val="000000" w:themeColor="text1"/>
                <w:lang w:eastAsia="en-AU"/>
              </w:rPr>
              <w:t xml:space="preserve">ndependent mechanism with </w:t>
            </w:r>
            <w:r w:rsidR="00A437D2" w:rsidRPr="004B58D1">
              <w:rPr>
                <w:rFonts w:ascii="Calibri" w:eastAsia="Times New Roman" w:hAnsi="Calibri" w:cs="Calibri"/>
                <w:color w:val="000000" w:themeColor="text1"/>
                <w:lang w:eastAsia="en-AU"/>
              </w:rPr>
              <w:t>a</w:t>
            </w:r>
            <w:r w:rsidR="0044662C" w:rsidRPr="004B58D1">
              <w:rPr>
                <w:rFonts w:ascii="Calibri" w:eastAsia="Times New Roman" w:hAnsi="Calibri" w:cs="Calibri"/>
                <w:color w:val="000000" w:themeColor="text1"/>
                <w:lang w:eastAsia="en-AU"/>
              </w:rPr>
              <w:t xml:space="preserve"> remit covering all Priority Reforms</w:t>
            </w:r>
          </w:p>
        </w:tc>
      </w:tr>
      <w:tr w:rsidR="00592D1A" w:rsidRPr="004B58D1" w14:paraId="15E2C462" w14:textId="77777777" w:rsidTr="02D444BD">
        <w:tc>
          <w:tcPr>
            <w:tcW w:w="2694" w:type="dxa"/>
            <w:tcMar>
              <w:top w:w="80" w:type="dxa"/>
              <w:left w:w="80" w:type="dxa"/>
              <w:bottom w:w="80" w:type="dxa"/>
              <w:right w:w="80" w:type="dxa"/>
            </w:tcMar>
          </w:tcPr>
          <w:p w14:paraId="18474FBE" w14:textId="7755645F"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val="en-US" w:eastAsia="en-AU"/>
              </w:rPr>
              <w:t xml:space="preserve">Embed the commitments of the National Agreement on Closing the Gap in other inter-governmental </w:t>
            </w:r>
            <w:r w:rsidR="001674F3">
              <w:rPr>
                <w:rFonts w:ascii="Calibri" w:eastAsia="Times New Roman" w:hAnsi="Calibri" w:cs="Calibri"/>
                <w:color w:val="000000" w:themeColor="text1"/>
                <w:lang w:val="en-US" w:eastAsia="en-AU"/>
              </w:rPr>
              <w:t>a</w:t>
            </w:r>
            <w:r w:rsidRPr="004B58D1">
              <w:rPr>
                <w:rFonts w:ascii="Calibri" w:eastAsia="Times New Roman" w:hAnsi="Calibri" w:cs="Calibri"/>
                <w:color w:val="000000" w:themeColor="text1"/>
                <w:lang w:val="en-US" w:eastAsia="en-AU"/>
              </w:rPr>
              <w:t>greements</w:t>
            </w:r>
          </w:p>
        </w:tc>
        <w:tc>
          <w:tcPr>
            <w:tcW w:w="1417" w:type="dxa"/>
          </w:tcPr>
          <w:p w14:paraId="02CAFBD3"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402B9249" w14:textId="77777777" w:rsidR="00765A12" w:rsidRPr="004B58D1" w:rsidRDefault="00AB6C9B"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008C2A75" w:rsidRPr="004B58D1">
              <w:rPr>
                <w:rFonts w:ascii="Calibri" w:eastAsia="Times New Roman" w:hAnsi="Calibri" w:cs="Calibri"/>
                <w:color w:val="000000" w:themeColor="text1"/>
                <w:lang w:eastAsia="en-AU"/>
              </w:rPr>
              <w:t>agree</w:t>
            </w:r>
            <w:r w:rsidR="003979B4" w:rsidRPr="004B58D1">
              <w:rPr>
                <w:rFonts w:ascii="Calibri" w:eastAsia="Times New Roman" w:hAnsi="Calibri" w:cs="Calibri"/>
                <w:color w:val="000000" w:themeColor="text1"/>
                <w:lang w:eastAsia="en-AU"/>
              </w:rPr>
              <w:t xml:space="preserve"> to further work</w:t>
            </w:r>
            <w:r w:rsidR="008C2A75" w:rsidRPr="004B58D1">
              <w:rPr>
                <w:rFonts w:ascii="Calibri" w:eastAsia="Times New Roman" w:hAnsi="Calibri" w:cs="Calibri"/>
                <w:color w:val="000000" w:themeColor="text1"/>
                <w:lang w:eastAsia="en-AU"/>
              </w:rPr>
              <w:t xml:space="preserve"> </w:t>
            </w:r>
            <w:r w:rsidR="00B83302" w:rsidRPr="004B58D1">
              <w:rPr>
                <w:rFonts w:ascii="Calibri" w:eastAsia="Times New Roman" w:hAnsi="Calibri" w:cs="Calibri"/>
                <w:color w:val="000000" w:themeColor="text1"/>
                <w:lang w:eastAsia="en-AU"/>
              </w:rPr>
              <w:t xml:space="preserve">to </w:t>
            </w:r>
            <w:r w:rsidR="00501B87" w:rsidRPr="004B58D1">
              <w:rPr>
                <w:rFonts w:ascii="Calibri" w:eastAsia="Times New Roman" w:hAnsi="Calibri" w:cs="Calibri"/>
                <w:color w:val="000000" w:themeColor="text1"/>
                <w:lang w:eastAsia="en-AU"/>
              </w:rPr>
              <w:t xml:space="preserve">embed </w:t>
            </w:r>
            <w:r w:rsidR="0074733E" w:rsidRPr="004B58D1">
              <w:rPr>
                <w:rFonts w:ascii="Calibri" w:eastAsia="Times New Roman" w:hAnsi="Calibri" w:cs="Calibri"/>
                <w:color w:val="000000" w:themeColor="text1"/>
                <w:lang w:eastAsia="en-AU"/>
              </w:rPr>
              <w:t xml:space="preserve">commitments </w:t>
            </w:r>
            <w:r w:rsidR="0073024C" w:rsidRPr="004B58D1">
              <w:rPr>
                <w:rFonts w:ascii="Calibri" w:eastAsia="Times New Roman" w:hAnsi="Calibri" w:cs="Calibri"/>
                <w:color w:val="000000" w:themeColor="text1"/>
                <w:lang w:eastAsia="en-AU"/>
              </w:rPr>
              <w:t>of the National Agreement on Closing the Gap in other</w:t>
            </w:r>
            <w:r w:rsidR="00765A12" w:rsidRPr="004B58D1">
              <w:rPr>
                <w:rFonts w:ascii="Calibri" w:eastAsia="Times New Roman" w:hAnsi="Calibri" w:cs="Calibri"/>
                <w:color w:val="000000" w:themeColor="text1"/>
                <w:lang w:eastAsia="en-AU"/>
              </w:rPr>
              <w:t xml:space="preserve"> significant</w:t>
            </w:r>
            <w:r w:rsidR="0073024C" w:rsidRPr="004B58D1">
              <w:rPr>
                <w:rFonts w:ascii="Calibri" w:eastAsia="Times New Roman" w:hAnsi="Calibri" w:cs="Calibri"/>
                <w:color w:val="000000" w:themeColor="text1"/>
                <w:lang w:eastAsia="en-AU"/>
              </w:rPr>
              <w:t xml:space="preserve"> inter-governmental agreements</w:t>
            </w:r>
            <w:r w:rsidR="00F45518" w:rsidRPr="004B58D1">
              <w:rPr>
                <w:rFonts w:ascii="Calibri" w:eastAsia="Times New Roman" w:hAnsi="Calibri" w:cs="Calibri"/>
                <w:color w:val="000000" w:themeColor="text1"/>
                <w:lang w:eastAsia="en-AU"/>
              </w:rPr>
              <w:t xml:space="preserve"> </w:t>
            </w:r>
            <w:r w:rsidR="00765A12" w:rsidRPr="004B58D1">
              <w:rPr>
                <w:rFonts w:ascii="Calibri" w:eastAsia="Times New Roman" w:hAnsi="Calibri" w:cs="Calibri"/>
                <w:color w:val="000000" w:themeColor="text1"/>
                <w:lang w:eastAsia="en-AU"/>
              </w:rPr>
              <w:t>when existing agreements are revised or new agreements are developed (such as those on health, housing, schools, skills and disability services)</w:t>
            </w:r>
          </w:p>
          <w:p w14:paraId="6297E30C" w14:textId="1E433E9B" w:rsidR="00834D37" w:rsidRPr="004B58D1" w:rsidRDefault="00834D37" w:rsidP="00FA76C7">
            <w:pPr>
              <w:spacing w:before="120" w:line="276" w:lineRule="auto"/>
              <w:ind w:left="57" w:right="113"/>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Parties note the partnership actions under Priority Reform Two (Clause 55 and 55b) to implement measures to increase the proportion of services delivered by Aboriginal and Torres Strait Islander organisations, particularly comm</w:t>
            </w:r>
            <w:r w:rsidR="007A4FC3" w:rsidRPr="004B58D1">
              <w:rPr>
                <w:rFonts w:ascii="Calibri" w:eastAsia="Times New Roman" w:hAnsi="Calibri" w:cs="Calibri"/>
                <w:color w:val="000000" w:themeColor="text1"/>
                <w:lang w:eastAsia="en-AU"/>
              </w:rPr>
              <w:t>unity-controlled organisations.</w:t>
            </w:r>
          </w:p>
          <w:p w14:paraId="04D1BFFB" w14:textId="2E59B2A1" w:rsidR="00592D1A" w:rsidRPr="00FA76C7" w:rsidRDefault="00D921A9" w:rsidP="00FA76C7">
            <w:pPr>
              <w:spacing w:before="120" w:line="276" w:lineRule="auto"/>
              <w:ind w:left="57" w:right="113"/>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work closely with and be guided by relevant Peaks</w:t>
            </w:r>
            <w:r w:rsidR="001E038E" w:rsidRPr="004B58D1">
              <w:rPr>
                <w:rFonts w:ascii="Calibri" w:eastAsia="Times New Roman" w:hAnsi="Calibri" w:cs="Calibri"/>
                <w:bCs/>
                <w:color w:val="000000" w:themeColor="text1"/>
                <w:lang w:eastAsia="en-AU"/>
              </w:rPr>
              <w:t xml:space="preserve"> </w:t>
            </w:r>
            <w:r w:rsidR="001E038E" w:rsidRPr="004B58D1">
              <w:rPr>
                <w:rFonts w:ascii="Calibri" w:eastAsia="Times New Roman" w:hAnsi="Calibri" w:cs="Calibri"/>
                <w:color w:val="000000" w:themeColor="text1"/>
                <w:lang w:eastAsia="en-AU"/>
              </w:rPr>
              <w:t>to embed the Priority Reforms into inter-governmental agreements</w:t>
            </w:r>
            <w:r w:rsidR="002063BF" w:rsidRPr="004B58D1">
              <w:rPr>
                <w:rFonts w:ascii="Calibri" w:eastAsia="Times New Roman" w:hAnsi="Calibri" w:cs="Calibri"/>
                <w:color w:val="000000" w:themeColor="text1"/>
                <w:lang w:eastAsia="en-AU"/>
              </w:rPr>
              <w:t>,</w:t>
            </w:r>
            <w:r w:rsidR="001E038E" w:rsidRPr="004B58D1">
              <w:rPr>
                <w:rFonts w:ascii="Calibri" w:eastAsia="Times New Roman" w:hAnsi="Calibri" w:cs="Calibri"/>
                <w:color w:val="000000" w:themeColor="text1"/>
                <w:lang w:eastAsia="en-AU"/>
              </w:rPr>
              <w:t xml:space="preserve"> where relevant to Closing the Gap.</w:t>
            </w:r>
            <w:r w:rsidR="009B2665" w:rsidRPr="004B58D1">
              <w:rPr>
                <w:rFonts w:ascii="Calibri" w:eastAsia="Times New Roman" w:hAnsi="Calibri" w:cs="Calibri"/>
                <w:color w:val="000000" w:themeColor="text1"/>
                <w:lang w:eastAsia="en-AU"/>
              </w:rPr>
              <w:t xml:space="preserve"> </w:t>
            </w:r>
            <w:r w:rsidR="0074439A" w:rsidRPr="004B58D1">
              <w:rPr>
                <w:rFonts w:ascii="Calibri" w:eastAsia="Times New Roman" w:hAnsi="Calibri" w:cs="Calibri"/>
                <w:bCs/>
                <w:color w:val="000000" w:themeColor="text1"/>
                <w:lang w:eastAsia="en-AU"/>
              </w:rPr>
              <w:t xml:space="preserve">Governments will also consider adequate funding to Aboriginal and Torres Strait Islander Peaks involved in the inter-governmental agreements. </w:t>
            </w:r>
          </w:p>
        </w:tc>
        <w:tc>
          <w:tcPr>
            <w:tcW w:w="3685" w:type="dxa"/>
          </w:tcPr>
          <w:p w14:paraId="7DBEA592" w14:textId="77777777" w:rsidR="00592D1A" w:rsidRPr="004B58D1" w:rsidRDefault="001E038E"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The Australian, state and territory governments to</w:t>
            </w:r>
            <w:r w:rsidR="00CF39C2" w:rsidRPr="004B58D1">
              <w:rPr>
                <w:rFonts w:ascii="Calibri" w:eastAsia="Times New Roman" w:hAnsi="Calibri" w:cs="Calibri"/>
                <w:color w:val="000000" w:themeColor="text1"/>
                <w:lang w:eastAsia="en-AU"/>
              </w:rPr>
              <w:t xml:space="preserve"> provide an update to Joint Council by the first meeting in 2025 (May or June).</w:t>
            </w:r>
          </w:p>
        </w:tc>
      </w:tr>
    </w:tbl>
    <w:p w14:paraId="2034715D" w14:textId="77777777" w:rsidR="00547258" w:rsidRPr="004B58D1" w:rsidRDefault="00547258" w:rsidP="00FA76C7">
      <w:pPr>
        <w:spacing w:before="120" w:line="276" w:lineRule="auto"/>
        <w:rPr>
          <w:rFonts w:ascii="Calibri" w:hAnsi="Calibri" w:cs="Calibri"/>
        </w:rPr>
      </w:pPr>
      <w:r w:rsidRPr="004B58D1">
        <w:rPr>
          <w:rFonts w:ascii="Calibri" w:hAnsi="Calibri" w:cs="Calibri"/>
        </w:rPr>
        <w:br w:type="page"/>
      </w:r>
    </w:p>
    <w:tbl>
      <w:tblPr>
        <w:tblW w:w="14742" w:type="dxa"/>
        <w:tblInd w:w="-719"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CellMar>
          <w:left w:w="0" w:type="dxa"/>
          <w:right w:w="0" w:type="dxa"/>
        </w:tblCellMar>
        <w:tblLook w:val="04A0" w:firstRow="1" w:lastRow="0" w:firstColumn="1" w:lastColumn="0" w:noHBand="0" w:noVBand="1"/>
      </w:tblPr>
      <w:tblGrid>
        <w:gridCol w:w="2694"/>
        <w:gridCol w:w="1417"/>
        <w:gridCol w:w="6946"/>
        <w:gridCol w:w="3685"/>
      </w:tblGrid>
      <w:tr w:rsidR="00592D1A" w:rsidRPr="004B58D1" w14:paraId="3EA8A715" w14:textId="77777777" w:rsidTr="00905A8E">
        <w:tc>
          <w:tcPr>
            <w:tcW w:w="2694" w:type="dxa"/>
            <w:tcMar>
              <w:top w:w="80" w:type="dxa"/>
              <w:left w:w="80" w:type="dxa"/>
              <w:bottom w:w="80" w:type="dxa"/>
              <w:right w:w="80" w:type="dxa"/>
            </w:tcMar>
            <w:hideMark/>
          </w:tcPr>
          <w:p w14:paraId="37949E45" w14:textId="77777777"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lastRenderedPageBreak/>
              <w:t xml:space="preserve">Include a statement on Closing the Gap in every government </w:t>
            </w:r>
            <w:proofErr w:type="gramStart"/>
            <w:r w:rsidRPr="004B58D1">
              <w:rPr>
                <w:rFonts w:ascii="Calibri" w:eastAsia="Times New Roman" w:hAnsi="Calibri" w:cs="Calibri"/>
                <w:color w:val="000000" w:themeColor="text1"/>
                <w:lang w:eastAsia="en-AU"/>
              </w:rPr>
              <w:t>organisations’</w:t>
            </w:r>
            <w:proofErr w:type="gramEnd"/>
            <w:r w:rsidRPr="004B58D1">
              <w:rPr>
                <w:rFonts w:ascii="Calibri" w:eastAsia="Times New Roman" w:hAnsi="Calibri" w:cs="Calibri"/>
                <w:color w:val="000000" w:themeColor="text1"/>
                <w:lang w:eastAsia="en-AU"/>
              </w:rPr>
              <w:t xml:space="preserve"> annual report</w:t>
            </w:r>
          </w:p>
        </w:tc>
        <w:tc>
          <w:tcPr>
            <w:tcW w:w="1417" w:type="dxa"/>
          </w:tcPr>
          <w:p w14:paraId="5B889F85" w14:textId="77777777" w:rsidR="00592D1A" w:rsidRPr="004B58D1" w:rsidRDefault="00FB399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Agree</w:t>
            </w:r>
          </w:p>
        </w:tc>
        <w:tc>
          <w:tcPr>
            <w:tcW w:w="6946" w:type="dxa"/>
          </w:tcPr>
          <w:p w14:paraId="235CA515"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bCs/>
                <w:color w:val="000000" w:themeColor="text1"/>
                <w:lang w:eastAsia="en-AU"/>
              </w:rPr>
              <w:t xml:space="preserve">The Australian, state and territory governments </w:t>
            </w:r>
            <w:r w:rsidRPr="004B58D1">
              <w:rPr>
                <w:rFonts w:ascii="Calibri" w:eastAsia="Times New Roman" w:hAnsi="Calibri" w:cs="Calibri"/>
                <w:color w:val="000000" w:themeColor="text1"/>
                <w:lang w:eastAsia="en-AU"/>
              </w:rPr>
              <w:t>to set up processes to support the inclusion of a statement on Closing the Gap across relevant government organisations’ annual reports.</w:t>
            </w:r>
          </w:p>
          <w:p w14:paraId="3435E275"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123D7574" w14:textId="77777777" w:rsidR="002063BF" w:rsidRPr="004B58D1" w:rsidRDefault="00625CC5"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The Australian, state and territory governments will develop guidance to support government organisations to</w:t>
            </w:r>
            <w:r w:rsidR="002063BF" w:rsidRPr="004B58D1">
              <w:rPr>
                <w:rFonts w:ascii="Calibri" w:eastAsia="Times New Roman" w:hAnsi="Calibri" w:cs="Calibri"/>
                <w:bCs/>
                <w:color w:val="000000" w:themeColor="text1"/>
                <w:lang w:eastAsia="en-AU"/>
              </w:rPr>
              <w:t>:</w:t>
            </w:r>
            <w:r w:rsidRPr="004B58D1">
              <w:rPr>
                <w:rFonts w:ascii="Calibri" w:eastAsia="Times New Roman" w:hAnsi="Calibri" w:cs="Calibri"/>
                <w:bCs/>
                <w:color w:val="000000" w:themeColor="text1"/>
                <w:lang w:eastAsia="en-AU"/>
              </w:rPr>
              <w:t xml:space="preserve"> </w:t>
            </w:r>
          </w:p>
          <w:p w14:paraId="5ACF998A" w14:textId="77777777" w:rsidR="002063BF" w:rsidRPr="004B58D1" w:rsidRDefault="00625CC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 xml:space="preserve">include Closing the Gap statements in annual reports </w:t>
            </w:r>
          </w:p>
          <w:p w14:paraId="69421806" w14:textId="77777777" w:rsidR="002063BF" w:rsidRPr="004B58D1" w:rsidRDefault="00625CC5" w:rsidP="00FA76C7">
            <w:pPr>
              <w:pStyle w:val="ListParagraph"/>
              <w:numPr>
                <w:ilvl w:val="0"/>
                <w:numId w:val="26"/>
              </w:numPr>
              <w:spacing w:before="120" w:line="276" w:lineRule="auto"/>
              <w:ind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embed actions in corporate plans</w:t>
            </w:r>
            <w:r w:rsidR="003327C9" w:rsidRPr="004B58D1">
              <w:rPr>
                <w:rFonts w:ascii="Calibri" w:eastAsia="Times New Roman" w:hAnsi="Calibri" w:cs="Calibri"/>
                <w:color w:val="000000" w:themeColor="text1"/>
                <w:lang w:eastAsia="en-AU"/>
              </w:rPr>
              <w:t xml:space="preserve"> </w:t>
            </w:r>
          </w:p>
          <w:p w14:paraId="27A096AB" w14:textId="5E7E0791" w:rsidR="00625CC5" w:rsidRPr="004B58D1" w:rsidRDefault="002063BF"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bCs/>
                <w:color w:val="000000" w:themeColor="text1"/>
                <w:lang w:eastAsia="en-AU"/>
              </w:rPr>
              <w:t xml:space="preserve">and </w:t>
            </w:r>
            <w:r w:rsidR="00FA76C7" w:rsidRPr="004B58D1">
              <w:rPr>
                <w:rFonts w:ascii="Calibri" w:eastAsia="Times New Roman" w:hAnsi="Calibri" w:cs="Calibri"/>
                <w:bCs/>
                <w:color w:val="000000" w:themeColor="text1"/>
                <w:lang w:eastAsia="en-AU"/>
              </w:rPr>
              <w:t>report to</w:t>
            </w:r>
            <w:r w:rsidR="003327C9" w:rsidRPr="004B58D1">
              <w:rPr>
                <w:rFonts w:ascii="Calibri" w:eastAsia="Times New Roman" w:hAnsi="Calibri" w:cs="Calibri"/>
                <w:bCs/>
                <w:color w:val="000000" w:themeColor="text1"/>
                <w:lang w:eastAsia="en-AU"/>
              </w:rPr>
              <w:t xml:space="preserve"> Joint Council </w:t>
            </w:r>
            <w:r w:rsidRPr="004B58D1">
              <w:rPr>
                <w:rFonts w:ascii="Calibri" w:eastAsia="Times New Roman" w:hAnsi="Calibri" w:cs="Calibri"/>
                <w:bCs/>
                <w:color w:val="000000" w:themeColor="text1"/>
                <w:lang w:eastAsia="en-AU"/>
              </w:rPr>
              <w:t xml:space="preserve">on progress by the first </w:t>
            </w:r>
            <w:r w:rsidR="003327C9" w:rsidRPr="004B58D1">
              <w:rPr>
                <w:rFonts w:ascii="Calibri" w:eastAsia="Times New Roman" w:hAnsi="Calibri" w:cs="Calibri"/>
                <w:bCs/>
                <w:color w:val="000000" w:themeColor="text1"/>
                <w:lang w:eastAsia="en-AU"/>
              </w:rPr>
              <w:t xml:space="preserve">meeting </w:t>
            </w:r>
            <w:r w:rsidRPr="004B58D1">
              <w:rPr>
                <w:rFonts w:ascii="Calibri" w:eastAsia="Times New Roman" w:hAnsi="Calibri" w:cs="Calibri"/>
                <w:bCs/>
                <w:color w:val="000000" w:themeColor="text1"/>
                <w:lang w:eastAsia="en-AU"/>
              </w:rPr>
              <w:t>in</w:t>
            </w:r>
            <w:r w:rsidR="003327C9" w:rsidRPr="004B58D1">
              <w:rPr>
                <w:rFonts w:ascii="Calibri" w:eastAsia="Times New Roman" w:hAnsi="Calibri" w:cs="Calibri"/>
                <w:bCs/>
                <w:color w:val="000000" w:themeColor="text1"/>
                <w:lang w:eastAsia="en-AU"/>
              </w:rPr>
              <w:t xml:space="preserve"> 2025 (May or June)</w:t>
            </w:r>
            <w:r w:rsidR="00625CC5" w:rsidRPr="004B58D1">
              <w:rPr>
                <w:rFonts w:ascii="Calibri" w:eastAsia="Times New Roman" w:hAnsi="Calibri" w:cs="Calibri"/>
                <w:bCs/>
                <w:color w:val="000000" w:themeColor="text1"/>
                <w:lang w:eastAsia="en-AU"/>
              </w:rPr>
              <w:t>.</w:t>
            </w:r>
          </w:p>
          <w:p w14:paraId="56C0D498" w14:textId="77777777" w:rsidR="00592D1A" w:rsidRPr="004B58D1" w:rsidRDefault="00FB3997" w:rsidP="00FA76C7">
            <w:pPr>
              <w:spacing w:before="120" w:line="276" w:lineRule="auto"/>
              <w:ind w:left="57" w:right="57"/>
              <w:rPr>
                <w:rFonts w:ascii="Calibri" w:eastAsia="Times New Roman" w:hAnsi="Calibri" w:cs="Calibri"/>
                <w:bCs/>
                <w:color w:val="000000" w:themeColor="text1"/>
                <w:lang w:eastAsia="en-AU"/>
              </w:rPr>
            </w:pPr>
            <w:r w:rsidRPr="004B58D1">
              <w:rPr>
                <w:rFonts w:ascii="Calibri" w:eastAsia="Times New Roman" w:hAnsi="Calibri" w:cs="Calibri"/>
                <w:color w:val="000000" w:themeColor="text1"/>
                <w:lang w:eastAsia="en-AU"/>
              </w:rPr>
              <w:t>Government Parties will consider amendments required to legislation where applicable.</w:t>
            </w:r>
          </w:p>
        </w:tc>
      </w:tr>
      <w:tr w:rsidR="00592D1A" w:rsidRPr="004B58D1" w14:paraId="61DC958F" w14:textId="77777777" w:rsidTr="00EB3B14">
        <w:tc>
          <w:tcPr>
            <w:tcW w:w="2694" w:type="dxa"/>
            <w:tcMar>
              <w:top w:w="80" w:type="dxa"/>
              <w:left w:w="80" w:type="dxa"/>
              <w:bottom w:w="80" w:type="dxa"/>
              <w:right w:w="80" w:type="dxa"/>
            </w:tcMar>
            <w:hideMark/>
          </w:tcPr>
          <w:p w14:paraId="671E9EA1" w14:textId="77777777" w:rsidR="00592D1A" w:rsidRPr="004B58D1" w:rsidRDefault="00592D1A" w:rsidP="00FA76C7">
            <w:pPr>
              <w:pStyle w:val="ListParagraph"/>
              <w:numPr>
                <w:ilvl w:val="1"/>
                <w:numId w:val="11"/>
              </w:numPr>
              <w:spacing w:before="120" w:line="276" w:lineRule="auto"/>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Publish all the documents developed under the Agreement</w:t>
            </w:r>
          </w:p>
        </w:tc>
        <w:tc>
          <w:tcPr>
            <w:tcW w:w="1417" w:type="dxa"/>
          </w:tcPr>
          <w:p w14:paraId="1CB863B4"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Agree</w:t>
            </w:r>
          </w:p>
        </w:tc>
        <w:tc>
          <w:tcPr>
            <w:tcW w:w="6946" w:type="dxa"/>
          </w:tcPr>
          <w:p w14:paraId="68D5A25E"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Joint Council is committed to t</w:t>
            </w:r>
            <w:r w:rsidR="00905A8E" w:rsidRPr="004B58D1">
              <w:rPr>
                <w:rFonts w:ascii="Calibri" w:eastAsia="Times New Roman" w:hAnsi="Calibri" w:cs="Calibri"/>
                <w:color w:val="000000" w:themeColor="text1"/>
                <w:lang w:eastAsia="en-AU"/>
              </w:rPr>
              <w:t xml:space="preserve">ransparency and accountability and will </w:t>
            </w:r>
            <w:r w:rsidRPr="004B58D1">
              <w:rPr>
                <w:rFonts w:ascii="Calibri" w:eastAsia="Times New Roman" w:hAnsi="Calibri" w:cs="Calibri"/>
                <w:color w:val="000000" w:themeColor="text1"/>
                <w:lang w:eastAsia="en-AU"/>
              </w:rPr>
              <w:t xml:space="preserve">consider an appropriate balance to </w:t>
            </w:r>
            <w:r w:rsidR="00EB3B14" w:rsidRPr="004B58D1">
              <w:rPr>
                <w:rFonts w:ascii="Calibri" w:eastAsia="Times New Roman" w:hAnsi="Calibri" w:cs="Calibri"/>
                <w:color w:val="000000" w:themeColor="text1"/>
                <w:lang w:eastAsia="en-AU"/>
              </w:rPr>
              <w:t>enable</w:t>
            </w:r>
            <w:r w:rsidRPr="004B58D1">
              <w:rPr>
                <w:rFonts w:ascii="Calibri" w:eastAsia="Times New Roman" w:hAnsi="Calibri" w:cs="Calibri"/>
                <w:color w:val="000000" w:themeColor="text1"/>
                <w:lang w:eastAsia="en-AU"/>
              </w:rPr>
              <w:t xml:space="preserve"> members </w:t>
            </w:r>
            <w:r w:rsidR="00EB3B14" w:rsidRPr="004B58D1">
              <w:rPr>
                <w:rFonts w:ascii="Calibri" w:eastAsia="Times New Roman" w:hAnsi="Calibri" w:cs="Calibri"/>
                <w:color w:val="000000" w:themeColor="text1"/>
                <w:lang w:eastAsia="en-AU"/>
              </w:rPr>
              <w:t xml:space="preserve">to </w:t>
            </w:r>
            <w:r w:rsidRPr="004B58D1">
              <w:rPr>
                <w:rFonts w:ascii="Calibri" w:eastAsia="Times New Roman" w:hAnsi="Calibri" w:cs="Calibri"/>
                <w:color w:val="000000" w:themeColor="text1"/>
                <w:lang w:eastAsia="en-AU"/>
              </w:rPr>
              <w:t>remain encouraged to voice strong opinions and dissenting views at Closing the Gap governance forums, and that the resourcing required to publish documents justifies the public interest in the material provided.</w:t>
            </w:r>
          </w:p>
          <w:p w14:paraId="66C2CFE8" w14:textId="77777777" w:rsidR="00592D1A" w:rsidRPr="004B58D1" w:rsidRDefault="00592D1A" w:rsidP="00FA76C7">
            <w:pPr>
              <w:spacing w:before="120" w:line="276" w:lineRule="auto"/>
              <w:ind w:left="57" w:right="57"/>
              <w:rPr>
                <w:rFonts w:ascii="Calibri" w:eastAsia="Times New Roman" w:hAnsi="Calibri" w:cs="Calibri"/>
                <w:color w:val="000000" w:themeColor="text1"/>
                <w:lang w:eastAsia="en-AU"/>
              </w:rPr>
            </w:pPr>
          </w:p>
        </w:tc>
        <w:tc>
          <w:tcPr>
            <w:tcW w:w="3685" w:type="dxa"/>
          </w:tcPr>
          <w:p w14:paraId="5AAED65D" w14:textId="77777777" w:rsidR="00905A8E"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 Working Group to recommend the scope of documents to be published and guidelines for publication</w:t>
            </w:r>
            <w:r w:rsidR="00905A8E" w:rsidRPr="004B58D1">
              <w:rPr>
                <w:rFonts w:ascii="Calibri" w:eastAsia="Times New Roman" w:hAnsi="Calibri" w:cs="Calibri"/>
                <w:color w:val="000000" w:themeColor="text1"/>
                <w:lang w:eastAsia="en-AU"/>
              </w:rPr>
              <w:t>, using the minimum publishing requirements proposed by the Productivity Commission as a basis.</w:t>
            </w:r>
          </w:p>
          <w:p w14:paraId="00629AE3" w14:textId="77777777" w:rsidR="00592D1A" w:rsidRPr="004B58D1" w:rsidRDefault="00FB3997" w:rsidP="00FA76C7">
            <w:pPr>
              <w:spacing w:before="120" w:line="276" w:lineRule="auto"/>
              <w:ind w:left="57" w:right="57"/>
              <w:rPr>
                <w:rFonts w:ascii="Calibri" w:eastAsia="Times New Roman" w:hAnsi="Calibri" w:cs="Calibri"/>
                <w:color w:val="000000" w:themeColor="text1"/>
                <w:lang w:eastAsia="en-AU"/>
              </w:rPr>
            </w:pPr>
            <w:r w:rsidRPr="004B58D1">
              <w:rPr>
                <w:rFonts w:ascii="Calibri" w:eastAsia="Times New Roman" w:hAnsi="Calibri" w:cs="Calibri"/>
                <w:color w:val="000000" w:themeColor="text1"/>
                <w:lang w:eastAsia="en-AU"/>
              </w:rPr>
              <w:t>Partnership Working Group will provide recommendations to Joint Council at the second meeting in 2024.</w:t>
            </w:r>
          </w:p>
        </w:tc>
      </w:tr>
    </w:tbl>
    <w:p w14:paraId="66627766" w14:textId="77777777" w:rsidR="001653F6" w:rsidRDefault="001653F6" w:rsidP="004B58D1">
      <w:pPr>
        <w:spacing w:before="120" w:line="276" w:lineRule="auto"/>
        <w:rPr>
          <w:rFonts w:ascii="Calibri" w:hAnsi="Calibri" w:cs="Calibri"/>
        </w:rPr>
      </w:pPr>
    </w:p>
    <w:p w14:paraId="51178305" w14:textId="77777777" w:rsidR="004077CB" w:rsidRDefault="004077CB" w:rsidP="004B58D1">
      <w:pPr>
        <w:spacing w:before="120" w:line="276" w:lineRule="auto"/>
        <w:rPr>
          <w:rFonts w:ascii="Calibri" w:hAnsi="Calibri" w:cs="Calibri"/>
        </w:rPr>
      </w:pPr>
    </w:p>
    <w:p w14:paraId="3988FCBA" w14:textId="77777777" w:rsidR="004077CB" w:rsidRPr="004B58D1" w:rsidRDefault="004077CB" w:rsidP="004077CB">
      <w:pPr>
        <w:spacing w:before="120" w:line="276" w:lineRule="auto"/>
        <w:rPr>
          <w:rFonts w:ascii="Calibri" w:hAnsi="Calibri" w:cs="Calibri"/>
        </w:rPr>
      </w:pPr>
    </w:p>
    <w:sectPr w:rsidR="004077CB" w:rsidRPr="004B58D1" w:rsidSect="00852B2D">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559" w:bottom="851" w:left="170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8E3C" w14:textId="77777777" w:rsidR="00BD764D" w:rsidRDefault="00BD764D" w:rsidP="00B95533">
      <w:pPr>
        <w:spacing w:after="0" w:line="240" w:lineRule="auto"/>
      </w:pPr>
      <w:r>
        <w:separator/>
      </w:r>
    </w:p>
  </w:endnote>
  <w:endnote w:type="continuationSeparator" w:id="0">
    <w:p w14:paraId="74FB3D80" w14:textId="77777777" w:rsidR="00BD764D" w:rsidRDefault="00BD764D" w:rsidP="00B95533">
      <w:pPr>
        <w:spacing w:after="0" w:line="240" w:lineRule="auto"/>
      </w:pPr>
      <w:r>
        <w:continuationSeparator/>
      </w:r>
    </w:p>
  </w:endnote>
  <w:endnote w:type="continuationNotice" w:id="1">
    <w:p w14:paraId="1565A13A" w14:textId="77777777" w:rsidR="00BD764D" w:rsidRDefault="00BD7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381E" w14:textId="1B3B8C6B" w:rsidR="00D03FFA" w:rsidRDefault="00D03FFA">
    <w:pPr>
      <w:pStyle w:val="Footer"/>
    </w:pPr>
    <w:r>
      <w:rPr>
        <w:noProof/>
      </w:rPr>
      <mc:AlternateContent>
        <mc:Choice Requires="wps">
          <w:drawing>
            <wp:anchor distT="0" distB="0" distL="0" distR="0" simplePos="0" relativeHeight="251658244" behindDoc="0" locked="0" layoutInCell="1" allowOverlap="1" wp14:anchorId="568692CD" wp14:editId="122134B0">
              <wp:simplePos x="635" y="635"/>
              <wp:positionH relativeFrom="page">
                <wp:align>center</wp:align>
              </wp:positionH>
              <wp:positionV relativeFrom="page">
                <wp:align>bottom</wp:align>
              </wp:positionV>
              <wp:extent cx="686435" cy="383540"/>
              <wp:effectExtent l="0" t="0" r="18415" b="0"/>
              <wp:wrapNone/>
              <wp:docPr id="10000443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71F8E55" w14:textId="10A43D0E"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692CD"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771F8E55" w14:textId="10A43D0E"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553164"/>
      <w:docPartObj>
        <w:docPartGallery w:val="Page Numbers (Bottom of Page)"/>
        <w:docPartUnique/>
      </w:docPartObj>
    </w:sdtPr>
    <w:sdtEndPr>
      <w:rPr>
        <w:noProof/>
      </w:rPr>
    </w:sdtEndPr>
    <w:sdtContent>
      <w:p w14:paraId="3575D506" w14:textId="2F9E0907" w:rsidR="004B58D1" w:rsidRDefault="004B58D1">
        <w:pPr>
          <w:pStyle w:val="Footer"/>
          <w:jc w:val="right"/>
        </w:pPr>
        <w:r w:rsidRPr="00FA76C7">
          <w:rPr>
            <w:rFonts w:ascii="Montserrat" w:hAnsi="Montserrat" w:cstheme="minorHAnsi"/>
            <w:color w:val="auto"/>
            <w:sz w:val="20"/>
            <w:szCs w:val="20"/>
          </w:rPr>
          <w:fldChar w:fldCharType="begin"/>
        </w:r>
        <w:r w:rsidRPr="00FA76C7">
          <w:rPr>
            <w:rFonts w:ascii="Montserrat" w:hAnsi="Montserrat" w:cstheme="minorHAnsi"/>
            <w:color w:val="auto"/>
            <w:sz w:val="20"/>
            <w:szCs w:val="20"/>
          </w:rPr>
          <w:instrText xml:space="preserve"> PAGE   \* MERGEFORMAT </w:instrText>
        </w:r>
        <w:r w:rsidRPr="00FA76C7">
          <w:rPr>
            <w:rFonts w:ascii="Montserrat" w:hAnsi="Montserrat" w:cstheme="minorHAnsi"/>
            <w:color w:val="auto"/>
            <w:sz w:val="20"/>
            <w:szCs w:val="20"/>
          </w:rPr>
          <w:fldChar w:fldCharType="separate"/>
        </w:r>
        <w:r w:rsidRPr="00FA76C7">
          <w:rPr>
            <w:rFonts w:ascii="Montserrat" w:hAnsi="Montserrat" w:cstheme="minorHAnsi"/>
            <w:noProof/>
            <w:color w:val="auto"/>
            <w:sz w:val="20"/>
            <w:szCs w:val="20"/>
          </w:rPr>
          <w:t>2</w:t>
        </w:r>
        <w:r w:rsidRPr="00FA76C7">
          <w:rPr>
            <w:rFonts w:ascii="Montserrat" w:hAnsi="Montserrat" w:cstheme="minorHAnsi"/>
            <w:noProof/>
            <w:color w:val="auto"/>
            <w:sz w:val="20"/>
            <w:szCs w:val="20"/>
          </w:rPr>
          <w:fldChar w:fldCharType="end"/>
        </w:r>
      </w:p>
    </w:sdtContent>
  </w:sdt>
  <w:p w14:paraId="76006770" w14:textId="5518DA26" w:rsidR="009A1FCA" w:rsidRPr="001509C2" w:rsidRDefault="009A1FCA" w:rsidP="002D4974">
    <w:pPr>
      <w:pStyle w:val="Footer"/>
      <w:rPr>
        <w:rFonts w:ascii="Montserrat" w:hAnsi="Montserrat"/>
        <w:color w:val="9C9C9C" w:themeColor="background2"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7231" w14:textId="6E0A8A0D" w:rsidR="009A1FCA" w:rsidRPr="00517F17" w:rsidRDefault="00D03FFA" w:rsidP="00517F17">
    <w:pPr>
      <w:pStyle w:val="Heading1"/>
      <w:spacing w:before="120" w:after="360"/>
      <w:jc w:val="center"/>
      <w:rPr>
        <w:rFonts w:ascii="Calibri" w:hAnsi="Calibri"/>
        <w:b w:val="0"/>
        <w:color w:val="auto"/>
        <w:sz w:val="24"/>
        <w:szCs w:val="24"/>
      </w:rPr>
    </w:pPr>
    <w:r>
      <w:rPr>
        <w:rFonts w:ascii="Calibri" w:hAnsi="Calibri"/>
        <w:b w:val="0"/>
        <w:noProof/>
        <w:color w:val="auto"/>
        <w:sz w:val="24"/>
        <w:szCs w:val="24"/>
      </w:rPr>
      <mc:AlternateContent>
        <mc:Choice Requires="wps">
          <w:drawing>
            <wp:anchor distT="0" distB="0" distL="0" distR="0" simplePos="0" relativeHeight="251658243" behindDoc="0" locked="0" layoutInCell="1" allowOverlap="1" wp14:anchorId="73905F08" wp14:editId="77033DC3">
              <wp:simplePos x="0" y="0"/>
              <wp:positionH relativeFrom="page">
                <wp:align>center</wp:align>
              </wp:positionH>
              <wp:positionV relativeFrom="page">
                <wp:posOffset>7310120</wp:posOffset>
              </wp:positionV>
              <wp:extent cx="686435" cy="383540"/>
              <wp:effectExtent l="0" t="0" r="18415" b="0"/>
              <wp:wrapNone/>
              <wp:docPr id="8953971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BF88F72" w14:textId="39A3E999"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905F08" id="_x0000_t202" coordsize="21600,21600" o:spt="202" path="m,l,21600r21600,l21600,xe">
              <v:stroke joinstyle="miter"/>
              <v:path gradientshapeok="t" o:connecttype="rect"/>
            </v:shapetype>
            <v:shape id="Text Box 4" o:spid="_x0000_s1028" type="#_x0000_t202" alt="OFFICIAL" style="position:absolute;left:0;text-align:left;margin-left:0;margin-top:575.6pt;width:54.05pt;height:30.2pt;z-index:251658243;visibility:visible;mso-wrap-style:none;mso-wrap-distance-left:0;mso-wrap-distance-top:0;mso-wrap-distance-right:0;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" filled="f" stroked="f">
              <v:textbox style="mso-fit-shape-to-text:t" inset="0,0,0,15pt">
                <w:txbxContent>
                  <w:p w14:paraId="6BF88F72" w14:textId="39A3E999"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r w:rsidR="009A1FCA">
      <w:rPr>
        <w:noProof/>
        <w:lang w:eastAsia="en-AU"/>
      </w:rPr>
      <mc:AlternateContent>
        <mc:Choice Requires="wps">
          <w:drawing>
            <wp:anchor distT="0" distB="0" distL="114300" distR="114300" simplePos="0" relativeHeight="251658241" behindDoc="0" locked="0" layoutInCell="1" allowOverlap="1" wp14:anchorId="14F38D1E" wp14:editId="5C81C6F0">
              <wp:simplePos x="0" y="0"/>
              <wp:positionH relativeFrom="page">
                <wp:posOffset>540204</wp:posOffset>
              </wp:positionH>
              <wp:positionV relativeFrom="page">
                <wp:posOffset>10119632</wp:posOffset>
              </wp:positionV>
              <wp:extent cx="6480000" cy="0"/>
              <wp:effectExtent l="0" t="19050" r="3556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6AA61" id="Straight Connector 39" o:spid="_x0000_s1026" alt="&quot;&quot;" style="position:absolute;z-index:251658241;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r w:rsidR="009A1FCA" w:rsidRPr="0040648D">
      <w:rPr>
        <w:noProof/>
        <w:lang w:eastAsia="en-AU"/>
      </w:rPr>
      <mc:AlternateContent>
        <mc:Choice Requires="wps">
          <w:drawing>
            <wp:anchor distT="45720" distB="45720" distL="114300" distR="114300" simplePos="0" relativeHeight="251658240" behindDoc="0" locked="1" layoutInCell="1" allowOverlap="1" wp14:anchorId="72A618B8" wp14:editId="690F2F9F">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5EEB7B7" w14:textId="77777777" w:rsidR="009A1FCA" w:rsidRPr="00FA76C7" w:rsidRDefault="009A1FCA" w:rsidP="00281E3E">
                          <w:pPr>
                            <w:pStyle w:val="Footer"/>
                            <w:spacing w:after="0"/>
                            <w:jc w:val="right"/>
                            <w:rPr>
                              <w:rFonts w:ascii="Montserrat" w:hAnsi="Montserrat"/>
                              <w:b/>
                              <w:color w:val="auto"/>
                              <w:sz w:val="20"/>
                              <w:szCs w:val="20"/>
                            </w:rPr>
                          </w:pPr>
                          <w:r w:rsidRPr="00FA76C7">
                            <w:rPr>
                              <w:rFonts w:ascii="Montserrat" w:hAnsi="Montserrat"/>
                              <w:b/>
                              <w:color w:val="auto"/>
                              <w:sz w:val="20"/>
                              <w:szCs w:val="20"/>
                            </w:rPr>
                            <w:fldChar w:fldCharType="begin"/>
                          </w:r>
                          <w:r w:rsidRPr="00FA76C7">
                            <w:rPr>
                              <w:rFonts w:ascii="Montserrat" w:hAnsi="Montserrat"/>
                              <w:color w:val="auto"/>
                              <w:sz w:val="20"/>
                              <w:szCs w:val="20"/>
                            </w:rPr>
                            <w:instrText xml:space="preserve"> PAGE   \* MERGEFORMAT </w:instrText>
                          </w:r>
                          <w:r w:rsidRPr="00FA76C7">
                            <w:rPr>
                              <w:rFonts w:ascii="Montserrat" w:hAnsi="Montserrat"/>
                              <w:b/>
                              <w:color w:val="auto"/>
                              <w:sz w:val="20"/>
                              <w:szCs w:val="20"/>
                            </w:rPr>
                            <w:fldChar w:fldCharType="separate"/>
                          </w:r>
                          <w:r w:rsidR="00DB70B2" w:rsidRPr="00FA76C7">
                            <w:rPr>
                              <w:rFonts w:ascii="Montserrat" w:hAnsi="Montserrat"/>
                              <w:noProof/>
                              <w:color w:val="auto"/>
                              <w:sz w:val="20"/>
                              <w:szCs w:val="20"/>
                            </w:rPr>
                            <w:t>1</w:t>
                          </w:r>
                          <w:r w:rsidRPr="00FA76C7">
                            <w:rPr>
                              <w:rFonts w:ascii="Montserrat" w:hAnsi="Montserrat"/>
                              <w:b/>
                              <w:noProof/>
                              <w:color w:val="auto"/>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A618B8" id="_x0000_s1029" type="#_x0000_t202" style="position:absolute;left:0;text-align:left;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uJnb2vABAADFAwAADgAAAAAAAAAAAAAAAAAuAgAAZHJzL2Uyb0Rv&#10;Yy54bWxQSwECLQAUAAYACAAAACEAkUB/XNsAAAAEAQAADwAAAAAAAAAAAAAAAABKBAAAZHJzL2Rv&#10;d25yZXYueG1sUEsFBgAAAAAEAAQA8wAAAFIFAAAAAA==&#10;" filled="f" stroked="f">
              <v:textbox inset="0,0,0,0">
                <w:txbxContent>
                  <w:p w14:paraId="65EEB7B7" w14:textId="77777777" w:rsidR="009A1FCA" w:rsidRPr="00FA76C7" w:rsidRDefault="009A1FCA" w:rsidP="00281E3E">
                    <w:pPr>
                      <w:pStyle w:val="Footer"/>
                      <w:spacing w:after="0"/>
                      <w:jc w:val="right"/>
                      <w:rPr>
                        <w:rFonts w:ascii="Montserrat" w:hAnsi="Montserrat"/>
                        <w:b/>
                        <w:color w:val="auto"/>
                        <w:sz w:val="20"/>
                        <w:szCs w:val="20"/>
                      </w:rPr>
                    </w:pPr>
                    <w:r w:rsidRPr="00FA76C7">
                      <w:rPr>
                        <w:rFonts w:ascii="Montserrat" w:hAnsi="Montserrat"/>
                        <w:b/>
                        <w:color w:val="auto"/>
                        <w:sz w:val="20"/>
                        <w:szCs w:val="20"/>
                      </w:rPr>
                      <w:fldChar w:fldCharType="begin"/>
                    </w:r>
                    <w:r w:rsidRPr="00FA76C7">
                      <w:rPr>
                        <w:rFonts w:ascii="Montserrat" w:hAnsi="Montserrat"/>
                        <w:color w:val="auto"/>
                        <w:sz w:val="20"/>
                        <w:szCs w:val="20"/>
                      </w:rPr>
                      <w:instrText xml:space="preserve"> PAGE   \* MERGEFORMAT </w:instrText>
                    </w:r>
                    <w:r w:rsidRPr="00FA76C7">
                      <w:rPr>
                        <w:rFonts w:ascii="Montserrat" w:hAnsi="Montserrat"/>
                        <w:b/>
                        <w:color w:val="auto"/>
                        <w:sz w:val="20"/>
                        <w:szCs w:val="20"/>
                      </w:rPr>
                      <w:fldChar w:fldCharType="separate"/>
                    </w:r>
                    <w:r w:rsidR="00DB70B2" w:rsidRPr="00FA76C7">
                      <w:rPr>
                        <w:rFonts w:ascii="Montserrat" w:hAnsi="Montserrat"/>
                        <w:noProof/>
                        <w:color w:val="auto"/>
                        <w:sz w:val="20"/>
                        <w:szCs w:val="20"/>
                      </w:rPr>
                      <w:t>1</w:t>
                    </w:r>
                    <w:r w:rsidRPr="00FA76C7">
                      <w:rPr>
                        <w:rFonts w:ascii="Montserrat" w:hAnsi="Montserrat"/>
                        <w:b/>
                        <w:noProof/>
                        <w:color w:val="auto"/>
                        <w:sz w:val="20"/>
                        <w:szCs w:val="20"/>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52CD" w14:textId="77777777" w:rsidR="00BD764D" w:rsidRPr="007A6FC6" w:rsidRDefault="00BD764D" w:rsidP="00B95533">
      <w:pPr>
        <w:spacing w:after="0" w:line="240" w:lineRule="auto"/>
        <w:rPr>
          <w:color w:val="BEA887" w:themeColor="accent2"/>
        </w:rPr>
      </w:pPr>
      <w:r w:rsidRPr="007A6FC6">
        <w:rPr>
          <w:color w:val="BEA887" w:themeColor="accent2"/>
        </w:rPr>
        <w:separator/>
      </w:r>
    </w:p>
  </w:footnote>
  <w:footnote w:type="continuationSeparator" w:id="0">
    <w:p w14:paraId="23678769" w14:textId="77777777" w:rsidR="00BD764D" w:rsidRPr="007A6FC6" w:rsidRDefault="00BD764D" w:rsidP="00B95533">
      <w:pPr>
        <w:spacing w:after="0" w:line="240" w:lineRule="auto"/>
        <w:rPr>
          <w:color w:val="BEA887" w:themeColor="accent2"/>
        </w:rPr>
      </w:pPr>
      <w:r w:rsidRPr="007A6FC6">
        <w:rPr>
          <w:color w:val="BEA887" w:themeColor="accent2"/>
        </w:rPr>
        <w:continuationSeparator/>
      </w:r>
    </w:p>
  </w:footnote>
  <w:footnote w:type="continuationNotice" w:id="1">
    <w:p w14:paraId="23DDD54B" w14:textId="77777777" w:rsidR="00BD764D" w:rsidRDefault="00BD76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F504" w14:textId="279866B2" w:rsidR="00D03FFA" w:rsidRDefault="00D03FFA">
    <w:pPr>
      <w:pStyle w:val="Header"/>
    </w:pPr>
    <w:r>
      <w:rPr>
        <w:noProof/>
      </w:rPr>
      <mc:AlternateContent>
        <mc:Choice Requires="wps">
          <w:drawing>
            <wp:anchor distT="0" distB="0" distL="0" distR="0" simplePos="0" relativeHeight="251658242" behindDoc="0" locked="0" layoutInCell="1" allowOverlap="1" wp14:anchorId="1CA88C7D" wp14:editId="070E1E3E">
              <wp:simplePos x="635" y="635"/>
              <wp:positionH relativeFrom="page">
                <wp:align>center</wp:align>
              </wp:positionH>
              <wp:positionV relativeFrom="page">
                <wp:align>top</wp:align>
              </wp:positionV>
              <wp:extent cx="686435" cy="383540"/>
              <wp:effectExtent l="0" t="0" r="18415" b="16510"/>
              <wp:wrapNone/>
              <wp:docPr id="4597837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AEA646D" w14:textId="7D1B6E87"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88C7D"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2AEA646D" w14:textId="7D1B6E87" w:rsidR="00D03FFA" w:rsidRPr="00D03FFA" w:rsidRDefault="00D03FFA" w:rsidP="00D03FFA">
                    <w:pPr>
                      <w:spacing w:after="0"/>
                      <w:rPr>
                        <w:rFonts w:ascii="Arial" w:eastAsia="Arial" w:hAnsi="Arial" w:cs="Arial"/>
                        <w:noProof/>
                        <w:color w:val="FF0000"/>
                        <w:sz w:val="24"/>
                        <w:szCs w:val="24"/>
                      </w:rPr>
                    </w:pPr>
                    <w:r w:rsidRPr="00D03FFA">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8554" w14:textId="0F5B4C54" w:rsidR="009A1FCA" w:rsidRDefault="009A1FCA" w:rsidP="00B00DCF">
    <w:pPr>
      <w:pStyle w:val="ProtectiveMarking"/>
      <w:rPr>
        <w:rFonts w:asciiTheme="minorHAnsi" w:hAnsiTheme="minorHAnsi" w:cstheme="minorHAnsi"/>
        <w:sz w:val="20"/>
      </w:rPr>
    </w:pPr>
    <w:r>
      <w:rPr>
        <w:rFonts w:asciiTheme="minorHAnsi" w:hAnsiTheme="minorHAnsi" w:cstheme="minorHAnsi"/>
        <w:sz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4D8A" w14:textId="5C620621" w:rsidR="009A1FCA" w:rsidRPr="00E47650" w:rsidRDefault="009A1FCA" w:rsidP="00B00DCF">
    <w:pPr>
      <w:pStyle w:val="ProtectiveMarking"/>
      <w:rPr>
        <w:rFonts w:asciiTheme="minorHAnsi" w:hAnsiTheme="minorHAnsi" w:cstheme="minorHAnsi"/>
        <w:sz w:val="20"/>
      </w:rPr>
    </w:pPr>
    <w:r w:rsidRPr="00E47650">
      <w:rPr>
        <w:rFonts w:asciiTheme="minorHAnsi" w:hAnsiTheme="minorHAnsi" w:cstheme="minorHAnsi"/>
        <w:sz w:val="20"/>
      </w:rPr>
      <w:t>OFFICIAL</w:t>
    </w:r>
  </w:p>
  <w:p w14:paraId="3E627DAD" w14:textId="77777777" w:rsidR="009A1FCA" w:rsidRPr="00517F17" w:rsidRDefault="009A1FCA" w:rsidP="00517F17">
    <w:pPr>
      <w:pStyle w:val="Header"/>
      <w:jc w:val="right"/>
      <w:rPr>
        <w:rFonts w:asciiTheme="minorHAnsi" w:hAnsiTheme="minorHAnsi" w:cstheme="minorHAnsi"/>
        <w:color w:val="000000" w:themeColor="text1"/>
      </w:rPr>
    </w:pPr>
    <w:r>
      <w:tab/>
    </w:r>
    <w:r w:rsidRPr="00B52260">
      <w:rPr>
        <w:rFonts w:asciiTheme="minorHAnsi" w:hAnsiTheme="minorHAnsi" w:cstheme="minorHAnsi"/>
        <w:color w:val="000000" w:themeColor="text1"/>
      </w:rPr>
      <w:t xml:space="preserve"> </w:t>
    </w:r>
  </w:p>
</w:hdr>
</file>

<file path=word/intelligence2.xml><?xml version="1.0" encoding="utf-8"?>
<int2:intelligence xmlns:int2="http://schemas.microsoft.com/office/intelligence/2020/intelligence" xmlns:oel="http://schemas.microsoft.com/office/2019/extlst">
  <int2:observations>
    <int2:textHash int2:hashCode="vjIs8LYq/xZN0h" int2:id="DWw1CSx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5EBD"/>
    <w:multiLevelType w:val="hybridMultilevel"/>
    <w:tmpl w:val="A5FC2B32"/>
    <w:lvl w:ilvl="0" w:tplc="E59ADED2">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 w15:restartNumberingAfterBreak="0">
    <w:nsid w:val="0C014203"/>
    <w:multiLevelType w:val="hybridMultilevel"/>
    <w:tmpl w:val="0A24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B34F3D"/>
    <w:multiLevelType w:val="hybridMultilevel"/>
    <w:tmpl w:val="65C47518"/>
    <w:lvl w:ilvl="0" w:tplc="0C090001">
      <w:start w:val="1"/>
      <w:numFmt w:val="bullet"/>
      <w:lvlText w:val=""/>
      <w:lvlJc w:val="left"/>
      <w:pPr>
        <w:ind w:left="344" w:hanging="360"/>
      </w:pPr>
      <w:rPr>
        <w:rFonts w:ascii="Symbol" w:hAnsi="Symbol" w:hint="default"/>
      </w:rPr>
    </w:lvl>
    <w:lvl w:ilvl="1" w:tplc="0C090003">
      <w:start w:val="1"/>
      <w:numFmt w:val="bullet"/>
      <w:lvlText w:val="o"/>
      <w:lvlJc w:val="left"/>
      <w:pPr>
        <w:ind w:left="1064" w:hanging="360"/>
      </w:pPr>
      <w:rPr>
        <w:rFonts w:ascii="Courier New" w:hAnsi="Courier New" w:cs="Courier New" w:hint="default"/>
      </w:rPr>
    </w:lvl>
    <w:lvl w:ilvl="2" w:tplc="0C090005">
      <w:start w:val="1"/>
      <w:numFmt w:val="bullet"/>
      <w:lvlText w:val=""/>
      <w:lvlJc w:val="left"/>
      <w:pPr>
        <w:ind w:left="1784" w:hanging="360"/>
      </w:pPr>
      <w:rPr>
        <w:rFonts w:ascii="Wingdings" w:hAnsi="Wingdings" w:hint="default"/>
      </w:rPr>
    </w:lvl>
    <w:lvl w:ilvl="3" w:tplc="0C090001">
      <w:start w:val="1"/>
      <w:numFmt w:val="bullet"/>
      <w:lvlText w:val=""/>
      <w:lvlJc w:val="left"/>
      <w:pPr>
        <w:ind w:left="2504" w:hanging="360"/>
      </w:pPr>
      <w:rPr>
        <w:rFonts w:ascii="Symbol" w:hAnsi="Symbol" w:hint="default"/>
      </w:rPr>
    </w:lvl>
    <w:lvl w:ilvl="4" w:tplc="0C090003" w:tentative="1">
      <w:start w:val="1"/>
      <w:numFmt w:val="bullet"/>
      <w:lvlText w:val="o"/>
      <w:lvlJc w:val="left"/>
      <w:pPr>
        <w:ind w:left="3224" w:hanging="360"/>
      </w:pPr>
      <w:rPr>
        <w:rFonts w:ascii="Courier New" w:hAnsi="Courier New" w:cs="Courier New" w:hint="default"/>
      </w:rPr>
    </w:lvl>
    <w:lvl w:ilvl="5" w:tplc="0C090005" w:tentative="1">
      <w:start w:val="1"/>
      <w:numFmt w:val="bullet"/>
      <w:lvlText w:val=""/>
      <w:lvlJc w:val="left"/>
      <w:pPr>
        <w:ind w:left="3944" w:hanging="360"/>
      </w:pPr>
      <w:rPr>
        <w:rFonts w:ascii="Wingdings" w:hAnsi="Wingdings" w:hint="default"/>
      </w:rPr>
    </w:lvl>
    <w:lvl w:ilvl="6" w:tplc="0C090001" w:tentative="1">
      <w:start w:val="1"/>
      <w:numFmt w:val="bullet"/>
      <w:lvlText w:val=""/>
      <w:lvlJc w:val="left"/>
      <w:pPr>
        <w:ind w:left="4664" w:hanging="360"/>
      </w:pPr>
      <w:rPr>
        <w:rFonts w:ascii="Symbol" w:hAnsi="Symbol" w:hint="default"/>
      </w:rPr>
    </w:lvl>
    <w:lvl w:ilvl="7" w:tplc="0C090003" w:tentative="1">
      <w:start w:val="1"/>
      <w:numFmt w:val="bullet"/>
      <w:lvlText w:val="o"/>
      <w:lvlJc w:val="left"/>
      <w:pPr>
        <w:ind w:left="5384" w:hanging="360"/>
      </w:pPr>
      <w:rPr>
        <w:rFonts w:ascii="Courier New" w:hAnsi="Courier New" w:cs="Courier New" w:hint="default"/>
      </w:rPr>
    </w:lvl>
    <w:lvl w:ilvl="8" w:tplc="0C090005" w:tentative="1">
      <w:start w:val="1"/>
      <w:numFmt w:val="bullet"/>
      <w:lvlText w:val=""/>
      <w:lvlJc w:val="left"/>
      <w:pPr>
        <w:ind w:left="6104" w:hanging="360"/>
      </w:pPr>
      <w:rPr>
        <w:rFonts w:ascii="Wingdings" w:hAnsi="Wingdings" w:hint="default"/>
      </w:rPr>
    </w:lvl>
  </w:abstractNum>
  <w:abstractNum w:abstractNumId="4" w15:restartNumberingAfterBreak="0">
    <w:nsid w:val="2694C103"/>
    <w:multiLevelType w:val="hybridMultilevel"/>
    <w:tmpl w:val="2424C0E0"/>
    <w:lvl w:ilvl="0" w:tplc="090C6980">
      <w:start w:val="2"/>
      <w:numFmt w:val="lowerLetter"/>
      <w:lvlText w:val="%1)"/>
      <w:lvlJc w:val="left"/>
      <w:pPr>
        <w:ind w:left="720" w:hanging="360"/>
      </w:pPr>
    </w:lvl>
    <w:lvl w:ilvl="1" w:tplc="AD401B4A">
      <w:start w:val="1"/>
      <w:numFmt w:val="lowerLetter"/>
      <w:lvlText w:val="%2."/>
      <w:lvlJc w:val="left"/>
      <w:pPr>
        <w:ind w:left="1440" w:hanging="360"/>
      </w:pPr>
    </w:lvl>
    <w:lvl w:ilvl="2" w:tplc="305CC27E">
      <w:start w:val="1"/>
      <w:numFmt w:val="lowerRoman"/>
      <w:lvlText w:val="%3."/>
      <w:lvlJc w:val="right"/>
      <w:pPr>
        <w:ind w:left="2160" w:hanging="180"/>
      </w:pPr>
    </w:lvl>
    <w:lvl w:ilvl="3" w:tplc="E64EC28C">
      <w:start w:val="1"/>
      <w:numFmt w:val="decimal"/>
      <w:lvlText w:val="%4."/>
      <w:lvlJc w:val="left"/>
      <w:pPr>
        <w:ind w:left="2880" w:hanging="360"/>
      </w:pPr>
    </w:lvl>
    <w:lvl w:ilvl="4" w:tplc="1FE61F32">
      <w:start w:val="1"/>
      <w:numFmt w:val="lowerLetter"/>
      <w:lvlText w:val="%5."/>
      <w:lvlJc w:val="left"/>
      <w:pPr>
        <w:ind w:left="3600" w:hanging="360"/>
      </w:pPr>
    </w:lvl>
    <w:lvl w:ilvl="5" w:tplc="39DAE1EC">
      <w:start w:val="1"/>
      <w:numFmt w:val="lowerRoman"/>
      <w:lvlText w:val="%6."/>
      <w:lvlJc w:val="right"/>
      <w:pPr>
        <w:ind w:left="4320" w:hanging="180"/>
      </w:pPr>
    </w:lvl>
    <w:lvl w:ilvl="6" w:tplc="9DD2E70E">
      <w:start w:val="1"/>
      <w:numFmt w:val="decimal"/>
      <w:lvlText w:val="%7."/>
      <w:lvlJc w:val="left"/>
      <w:pPr>
        <w:ind w:left="5040" w:hanging="360"/>
      </w:pPr>
    </w:lvl>
    <w:lvl w:ilvl="7" w:tplc="8D440EC6">
      <w:start w:val="1"/>
      <w:numFmt w:val="lowerLetter"/>
      <w:lvlText w:val="%8."/>
      <w:lvlJc w:val="left"/>
      <w:pPr>
        <w:ind w:left="5760" w:hanging="360"/>
      </w:pPr>
    </w:lvl>
    <w:lvl w:ilvl="8" w:tplc="1F008858">
      <w:start w:val="1"/>
      <w:numFmt w:val="lowerRoman"/>
      <w:lvlText w:val="%9."/>
      <w:lvlJc w:val="right"/>
      <w:pPr>
        <w:ind w:left="6480" w:hanging="180"/>
      </w:pPr>
    </w:lvl>
  </w:abstractNum>
  <w:abstractNum w:abstractNumId="5" w15:restartNumberingAfterBreak="0">
    <w:nsid w:val="2D6B155A"/>
    <w:multiLevelType w:val="hybridMultilevel"/>
    <w:tmpl w:val="AC64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9176E"/>
    <w:multiLevelType w:val="multilevel"/>
    <w:tmpl w:val="0854E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B777CB7"/>
    <w:multiLevelType w:val="hybridMultilevel"/>
    <w:tmpl w:val="81BC67C2"/>
    <w:lvl w:ilvl="0" w:tplc="52363A7E">
      <w:numFmt w:val="bullet"/>
      <w:lvlText w:val="•"/>
      <w:lvlJc w:val="left"/>
      <w:pPr>
        <w:ind w:left="417" w:hanging="360"/>
      </w:pPr>
      <w:rPr>
        <w:rFonts w:ascii="Calibri" w:eastAsia="Times New Roman" w:hAnsi="Calibri" w:cs="Calibri"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9" w15:restartNumberingAfterBreak="0">
    <w:nsid w:val="3BCB1A00"/>
    <w:multiLevelType w:val="hybridMultilevel"/>
    <w:tmpl w:val="613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54AF1"/>
    <w:multiLevelType w:val="hybridMultilevel"/>
    <w:tmpl w:val="BC827542"/>
    <w:lvl w:ilvl="0" w:tplc="2F76246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1" w15:restartNumberingAfterBreak="0">
    <w:nsid w:val="46E15F6E"/>
    <w:multiLevelType w:val="multilevel"/>
    <w:tmpl w:val="DBB2DBEE"/>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AB2DEF"/>
    <w:multiLevelType w:val="hybridMultilevel"/>
    <w:tmpl w:val="C7C20B6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15:restartNumberingAfterBreak="0">
    <w:nsid w:val="4CED5AE1"/>
    <w:multiLevelType w:val="hybridMultilevel"/>
    <w:tmpl w:val="7E8C5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F5082"/>
    <w:multiLevelType w:val="hybridMultilevel"/>
    <w:tmpl w:val="9512644C"/>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64C2298E"/>
    <w:multiLevelType w:val="multilevel"/>
    <w:tmpl w:val="A192111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4D139B"/>
    <w:multiLevelType w:val="hybridMultilevel"/>
    <w:tmpl w:val="94A6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92403"/>
    <w:multiLevelType w:val="hybridMultilevel"/>
    <w:tmpl w:val="5E7C4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E51A5B"/>
    <w:multiLevelType w:val="multilevel"/>
    <w:tmpl w:val="7B60851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C03332"/>
    <w:multiLevelType w:val="hybridMultilevel"/>
    <w:tmpl w:val="DAC40F0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4" w15:restartNumberingAfterBreak="0">
    <w:nsid w:val="7CC90AE5"/>
    <w:multiLevelType w:val="hybridMultilevel"/>
    <w:tmpl w:val="65A01394"/>
    <w:lvl w:ilvl="0" w:tplc="08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5" w15:restartNumberingAfterBreak="0">
    <w:nsid w:val="7E654013"/>
    <w:multiLevelType w:val="hybridMultilevel"/>
    <w:tmpl w:val="D584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140629">
    <w:abstractNumId w:val="15"/>
  </w:num>
  <w:num w:numId="2" w16cid:durableId="1056204497">
    <w:abstractNumId w:val="7"/>
  </w:num>
  <w:num w:numId="3" w16cid:durableId="818881668">
    <w:abstractNumId w:val="16"/>
  </w:num>
  <w:num w:numId="4" w16cid:durableId="944465032">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16cid:durableId="1395280172">
    <w:abstractNumId w:val="2"/>
  </w:num>
  <w:num w:numId="6" w16cid:durableId="447434084">
    <w:abstractNumId w:val="23"/>
  </w:num>
  <w:num w:numId="7" w16cid:durableId="413942758">
    <w:abstractNumId w:val="22"/>
  </w:num>
  <w:num w:numId="8" w16cid:durableId="1351948616">
    <w:abstractNumId w:val="6"/>
  </w:num>
  <w:num w:numId="9" w16cid:durableId="2009600718">
    <w:abstractNumId w:val="17"/>
  </w:num>
  <w:num w:numId="10" w16cid:durableId="1591351807">
    <w:abstractNumId w:val="20"/>
  </w:num>
  <w:num w:numId="11" w16cid:durableId="1913466295">
    <w:abstractNumId w:val="11"/>
  </w:num>
  <w:num w:numId="12" w16cid:durableId="383406060">
    <w:abstractNumId w:val="3"/>
  </w:num>
  <w:num w:numId="13" w16cid:durableId="99958732">
    <w:abstractNumId w:val="1"/>
  </w:num>
  <w:num w:numId="14" w16cid:durableId="1941792164">
    <w:abstractNumId w:val="21"/>
  </w:num>
  <w:num w:numId="15" w16cid:durableId="905800109">
    <w:abstractNumId w:val="25"/>
  </w:num>
  <w:num w:numId="16" w16cid:durableId="755591359">
    <w:abstractNumId w:val="12"/>
  </w:num>
  <w:num w:numId="17" w16cid:durableId="1499881288">
    <w:abstractNumId w:val="4"/>
  </w:num>
  <w:num w:numId="18" w16cid:durableId="1361394348">
    <w:abstractNumId w:val="9"/>
  </w:num>
  <w:num w:numId="19" w16cid:durableId="775640640">
    <w:abstractNumId w:val="18"/>
  </w:num>
  <w:num w:numId="20" w16cid:durableId="1013531039">
    <w:abstractNumId w:val="13"/>
  </w:num>
  <w:num w:numId="21" w16cid:durableId="1661695237">
    <w:abstractNumId w:val="5"/>
  </w:num>
  <w:num w:numId="22" w16cid:durableId="101190826">
    <w:abstractNumId w:val="19"/>
  </w:num>
  <w:num w:numId="23" w16cid:durableId="394359222">
    <w:abstractNumId w:val="24"/>
  </w:num>
  <w:num w:numId="24" w16cid:durableId="1095203326">
    <w:abstractNumId w:val="8"/>
  </w:num>
  <w:num w:numId="25" w16cid:durableId="1864784091">
    <w:abstractNumId w:val="10"/>
  </w:num>
  <w:num w:numId="26" w16cid:durableId="1116559747">
    <w:abstractNumId w:val="14"/>
  </w:num>
  <w:num w:numId="27" w16cid:durableId="26011320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3"/>
    <w:rsid w:val="00000505"/>
    <w:rsid w:val="000006A8"/>
    <w:rsid w:val="00002AD2"/>
    <w:rsid w:val="00002F73"/>
    <w:rsid w:val="00003DFF"/>
    <w:rsid w:val="0000620E"/>
    <w:rsid w:val="00007EB1"/>
    <w:rsid w:val="00014206"/>
    <w:rsid w:val="000146BD"/>
    <w:rsid w:val="00021BC8"/>
    <w:rsid w:val="000230F3"/>
    <w:rsid w:val="00023AC4"/>
    <w:rsid w:val="00025B40"/>
    <w:rsid w:val="00025FC0"/>
    <w:rsid w:val="00026DD5"/>
    <w:rsid w:val="000304B2"/>
    <w:rsid w:val="00030D07"/>
    <w:rsid w:val="000319AB"/>
    <w:rsid w:val="00031B5C"/>
    <w:rsid w:val="000327E7"/>
    <w:rsid w:val="00034193"/>
    <w:rsid w:val="00034F37"/>
    <w:rsid w:val="00034FEC"/>
    <w:rsid w:val="000407C0"/>
    <w:rsid w:val="0004082F"/>
    <w:rsid w:val="00042E89"/>
    <w:rsid w:val="00044BF9"/>
    <w:rsid w:val="00047064"/>
    <w:rsid w:val="00047CDB"/>
    <w:rsid w:val="000503A6"/>
    <w:rsid w:val="00052C00"/>
    <w:rsid w:val="00052C72"/>
    <w:rsid w:val="00053CD9"/>
    <w:rsid w:val="00057B46"/>
    <w:rsid w:val="00062D01"/>
    <w:rsid w:val="00063034"/>
    <w:rsid w:val="000648C6"/>
    <w:rsid w:val="00065101"/>
    <w:rsid w:val="00073D52"/>
    <w:rsid w:val="000756F7"/>
    <w:rsid w:val="0007623F"/>
    <w:rsid w:val="00076AD1"/>
    <w:rsid w:val="000803CA"/>
    <w:rsid w:val="00080D8E"/>
    <w:rsid w:val="0008268B"/>
    <w:rsid w:val="00091BCD"/>
    <w:rsid w:val="0009265A"/>
    <w:rsid w:val="0009398F"/>
    <w:rsid w:val="00093C86"/>
    <w:rsid w:val="00093E60"/>
    <w:rsid w:val="00094B02"/>
    <w:rsid w:val="00094C68"/>
    <w:rsid w:val="0009590F"/>
    <w:rsid w:val="00095BF3"/>
    <w:rsid w:val="000960F2"/>
    <w:rsid w:val="00097BBF"/>
    <w:rsid w:val="000A041E"/>
    <w:rsid w:val="000A08CA"/>
    <w:rsid w:val="000A0E4C"/>
    <w:rsid w:val="000A610D"/>
    <w:rsid w:val="000B4C43"/>
    <w:rsid w:val="000C1991"/>
    <w:rsid w:val="000C1CEC"/>
    <w:rsid w:val="000C1FD3"/>
    <w:rsid w:val="000C30CB"/>
    <w:rsid w:val="000C4D3D"/>
    <w:rsid w:val="000C4DC5"/>
    <w:rsid w:val="000D0184"/>
    <w:rsid w:val="000D106A"/>
    <w:rsid w:val="000D113F"/>
    <w:rsid w:val="000D2B81"/>
    <w:rsid w:val="000D3DBC"/>
    <w:rsid w:val="000D5416"/>
    <w:rsid w:val="000E03EC"/>
    <w:rsid w:val="000E15DD"/>
    <w:rsid w:val="000E2D44"/>
    <w:rsid w:val="000E351D"/>
    <w:rsid w:val="000E60F7"/>
    <w:rsid w:val="000E7556"/>
    <w:rsid w:val="000F0A98"/>
    <w:rsid w:val="000F1B86"/>
    <w:rsid w:val="000F23B0"/>
    <w:rsid w:val="000F291B"/>
    <w:rsid w:val="000F3C1A"/>
    <w:rsid w:val="000F5917"/>
    <w:rsid w:val="000F5D80"/>
    <w:rsid w:val="000F6C88"/>
    <w:rsid w:val="001007B9"/>
    <w:rsid w:val="00102A5A"/>
    <w:rsid w:val="00105ECB"/>
    <w:rsid w:val="00110B70"/>
    <w:rsid w:val="00112B5E"/>
    <w:rsid w:val="00114BE2"/>
    <w:rsid w:val="0011601D"/>
    <w:rsid w:val="001205C8"/>
    <w:rsid w:val="00120E00"/>
    <w:rsid w:val="001228F8"/>
    <w:rsid w:val="00124C34"/>
    <w:rsid w:val="00125B7B"/>
    <w:rsid w:val="00131206"/>
    <w:rsid w:val="00131315"/>
    <w:rsid w:val="00132268"/>
    <w:rsid w:val="001336CF"/>
    <w:rsid w:val="00136259"/>
    <w:rsid w:val="00137669"/>
    <w:rsid w:val="00137F2E"/>
    <w:rsid w:val="00140CED"/>
    <w:rsid w:val="001430B5"/>
    <w:rsid w:val="00143288"/>
    <w:rsid w:val="00144A20"/>
    <w:rsid w:val="001509C2"/>
    <w:rsid w:val="00151B16"/>
    <w:rsid w:val="0015517C"/>
    <w:rsid w:val="0015537B"/>
    <w:rsid w:val="00160628"/>
    <w:rsid w:val="00162AB6"/>
    <w:rsid w:val="001653F6"/>
    <w:rsid w:val="001674F3"/>
    <w:rsid w:val="00167620"/>
    <w:rsid w:val="0016781C"/>
    <w:rsid w:val="00172345"/>
    <w:rsid w:val="001727AF"/>
    <w:rsid w:val="00176EA5"/>
    <w:rsid w:val="00177611"/>
    <w:rsid w:val="0017798C"/>
    <w:rsid w:val="001809C6"/>
    <w:rsid w:val="001813AE"/>
    <w:rsid w:val="00181C56"/>
    <w:rsid w:val="001832B5"/>
    <w:rsid w:val="00183E14"/>
    <w:rsid w:val="001850CB"/>
    <w:rsid w:val="00185A08"/>
    <w:rsid w:val="0019310D"/>
    <w:rsid w:val="001940EB"/>
    <w:rsid w:val="001953CF"/>
    <w:rsid w:val="00195BA8"/>
    <w:rsid w:val="001A1145"/>
    <w:rsid w:val="001A1957"/>
    <w:rsid w:val="001A1B42"/>
    <w:rsid w:val="001A2275"/>
    <w:rsid w:val="001A26A0"/>
    <w:rsid w:val="001A2F86"/>
    <w:rsid w:val="001A4822"/>
    <w:rsid w:val="001A492A"/>
    <w:rsid w:val="001A4958"/>
    <w:rsid w:val="001A536E"/>
    <w:rsid w:val="001B0144"/>
    <w:rsid w:val="001B10ED"/>
    <w:rsid w:val="001B198A"/>
    <w:rsid w:val="001B2A2E"/>
    <w:rsid w:val="001B7425"/>
    <w:rsid w:val="001C0B96"/>
    <w:rsid w:val="001C2F07"/>
    <w:rsid w:val="001C2FC8"/>
    <w:rsid w:val="001C5165"/>
    <w:rsid w:val="001C6653"/>
    <w:rsid w:val="001D19F7"/>
    <w:rsid w:val="001D2123"/>
    <w:rsid w:val="001D2196"/>
    <w:rsid w:val="001D283B"/>
    <w:rsid w:val="001D3457"/>
    <w:rsid w:val="001D5613"/>
    <w:rsid w:val="001D62CA"/>
    <w:rsid w:val="001E01BF"/>
    <w:rsid w:val="001E038E"/>
    <w:rsid w:val="001E0AA8"/>
    <w:rsid w:val="001E3EE9"/>
    <w:rsid w:val="001E4245"/>
    <w:rsid w:val="001F0654"/>
    <w:rsid w:val="001F3722"/>
    <w:rsid w:val="001F4D77"/>
    <w:rsid w:val="001F738E"/>
    <w:rsid w:val="0020007C"/>
    <w:rsid w:val="00200083"/>
    <w:rsid w:val="002016A6"/>
    <w:rsid w:val="00201D16"/>
    <w:rsid w:val="0020320E"/>
    <w:rsid w:val="002033BB"/>
    <w:rsid w:val="00203B5F"/>
    <w:rsid w:val="002063BF"/>
    <w:rsid w:val="0021247A"/>
    <w:rsid w:val="00214029"/>
    <w:rsid w:val="00214B2A"/>
    <w:rsid w:val="00216968"/>
    <w:rsid w:val="0022133A"/>
    <w:rsid w:val="00221CDE"/>
    <w:rsid w:val="00222865"/>
    <w:rsid w:val="002229A5"/>
    <w:rsid w:val="002229E8"/>
    <w:rsid w:val="00223A72"/>
    <w:rsid w:val="00223D1B"/>
    <w:rsid w:val="0022463D"/>
    <w:rsid w:val="00230D1B"/>
    <w:rsid w:val="002317BD"/>
    <w:rsid w:val="00231B22"/>
    <w:rsid w:val="00233B45"/>
    <w:rsid w:val="00234705"/>
    <w:rsid w:val="00237365"/>
    <w:rsid w:val="0024274B"/>
    <w:rsid w:val="00243723"/>
    <w:rsid w:val="0024493B"/>
    <w:rsid w:val="00245F48"/>
    <w:rsid w:val="002500D6"/>
    <w:rsid w:val="00250BE6"/>
    <w:rsid w:val="00252882"/>
    <w:rsid w:val="00252EA1"/>
    <w:rsid w:val="00252F38"/>
    <w:rsid w:val="00253DAE"/>
    <w:rsid w:val="00255F31"/>
    <w:rsid w:val="00260C56"/>
    <w:rsid w:val="00264A5E"/>
    <w:rsid w:val="00266BBB"/>
    <w:rsid w:val="00271572"/>
    <w:rsid w:val="00271C7B"/>
    <w:rsid w:val="002737C0"/>
    <w:rsid w:val="00274CBA"/>
    <w:rsid w:val="00274D7F"/>
    <w:rsid w:val="00275641"/>
    <w:rsid w:val="00275723"/>
    <w:rsid w:val="00277016"/>
    <w:rsid w:val="0027769C"/>
    <w:rsid w:val="00280DB4"/>
    <w:rsid w:val="00281E3E"/>
    <w:rsid w:val="00283CF9"/>
    <w:rsid w:val="00284710"/>
    <w:rsid w:val="00286D91"/>
    <w:rsid w:val="00290577"/>
    <w:rsid w:val="00294D1D"/>
    <w:rsid w:val="002955DD"/>
    <w:rsid w:val="002A0289"/>
    <w:rsid w:val="002A371E"/>
    <w:rsid w:val="002A6790"/>
    <w:rsid w:val="002B4189"/>
    <w:rsid w:val="002B4B0A"/>
    <w:rsid w:val="002B5FF3"/>
    <w:rsid w:val="002B6F55"/>
    <w:rsid w:val="002B770F"/>
    <w:rsid w:val="002C0866"/>
    <w:rsid w:val="002C221F"/>
    <w:rsid w:val="002C2F0D"/>
    <w:rsid w:val="002C5F5B"/>
    <w:rsid w:val="002C6283"/>
    <w:rsid w:val="002C7258"/>
    <w:rsid w:val="002C777D"/>
    <w:rsid w:val="002D001F"/>
    <w:rsid w:val="002D06C0"/>
    <w:rsid w:val="002D218B"/>
    <w:rsid w:val="002D40B1"/>
    <w:rsid w:val="002D45CD"/>
    <w:rsid w:val="002D4974"/>
    <w:rsid w:val="002D687D"/>
    <w:rsid w:val="002D75F9"/>
    <w:rsid w:val="002E07AC"/>
    <w:rsid w:val="002E0E53"/>
    <w:rsid w:val="002E4838"/>
    <w:rsid w:val="002E518C"/>
    <w:rsid w:val="002E5685"/>
    <w:rsid w:val="002E6901"/>
    <w:rsid w:val="002E6AA1"/>
    <w:rsid w:val="002F5250"/>
    <w:rsid w:val="002F5316"/>
    <w:rsid w:val="002F57C6"/>
    <w:rsid w:val="00305B3C"/>
    <w:rsid w:val="003066F3"/>
    <w:rsid w:val="00306CE7"/>
    <w:rsid w:val="00307A69"/>
    <w:rsid w:val="00307D6C"/>
    <w:rsid w:val="00312E4A"/>
    <w:rsid w:val="00313066"/>
    <w:rsid w:val="00314CAA"/>
    <w:rsid w:val="0031546F"/>
    <w:rsid w:val="00316B0D"/>
    <w:rsid w:val="00321C01"/>
    <w:rsid w:val="00321E83"/>
    <w:rsid w:val="003231C5"/>
    <w:rsid w:val="003300DB"/>
    <w:rsid w:val="0033088D"/>
    <w:rsid w:val="00330D3D"/>
    <w:rsid w:val="00331440"/>
    <w:rsid w:val="003327C9"/>
    <w:rsid w:val="0033511B"/>
    <w:rsid w:val="00335425"/>
    <w:rsid w:val="003371F0"/>
    <w:rsid w:val="00337853"/>
    <w:rsid w:val="00342E49"/>
    <w:rsid w:val="00345B55"/>
    <w:rsid w:val="00345C08"/>
    <w:rsid w:val="00345CB7"/>
    <w:rsid w:val="00346178"/>
    <w:rsid w:val="003500C6"/>
    <w:rsid w:val="003503D6"/>
    <w:rsid w:val="00350AD2"/>
    <w:rsid w:val="00350D14"/>
    <w:rsid w:val="00350E52"/>
    <w:rsid w:val="00351282"/>
    <w:rsid w:val="00352DF6"/>
    <w:rsid w:val="0035382D"/>
    <w:rsid w:val="003543B0"/>
    <w:rsid w:val="0035641C"/>
    <w:rsid w:val="00363AE5"/>
    <w:rsid w:val="00370A16"/>
    <w:rsid w:val="00373D5C"/>
    <w:rsid w:val="00373DAB"/>
    <w:rsid w:val="00376972"/>
    <w:rsid w:val="00376C3B"/>
    <w:rsid w:val="00380A06"/>
    <w:rsid w:val="003848EF"/>
    <w:rsid w:val="00385B65"/>
    <w:rsid w:val="00391929"/>
    <w:rsid w:val="00395779"/>
    <w:rsid w:val="00396611"/>
    <w:rsid w:val="00397837"/>
    <w:rsid w:val="003979B4"/>
    <w:rsid w:val="003A3742"/>
    <w:rsid w:val="003A3E57"/>
    <w:rsid w:val="003A5F19"/>
    <w:rsid w:val="003A7F1F"/>
    <w:rsid w:val="003B5A05"/>
    <w:rsid w:val="003C3F6C"/>
    <w:rsid w:val="003C6525"/>
    <w:rsid w:val="003C6961"/>
    <w:rsid w:val="003D21A3"/>
    <w:rsid w:val="003D33F7"/>
    <w:rsid w:val="003E025A"/>
    <w:rsid w:val="003E253A"/>
    <w:rsid w:val="003E2924"/>
    <w:rsid w:val="003E5941"/>
    <w:rsid w:val="003E606D"/>
    <w:rsid w:val="003E67A2"/>
    <w:rsid w:val="003E6B8B"/>
    <w:rsid w:val="003F017E"/>
    <w:rsid w:val="003F0F5B"/>
    <w:rsid w:val="003F17BC"/>
    <w:rsid w:val="003F1A1E"/>
    <w:rsid w:val="003F40C4"/>
    <w:rsid w:val="003F5AC7"/>
    <w:rsid w:val="003F5F4B"/>
    <w:rsid w:val="003F6C19"/>
    <w:rsid w:val="003F7356"/>
    <w:rsid w:val="003F7E70"/>
    <w:rsid w:val="004042F2"/>
    <w:rsid w:val="0040459F"/>
    <w:rsid w:val="0040648D"/>
    <w:rsid w:val="004077CB"/>
    <w:rsid w:val="00407A2B"/>
    <w:rsid w:val="00410D8F"/>
    <w:rsid w:val="00414CEB"/>
    <w:rsid w:val="004158C9"/>
    <w:rsid w:val="004163FA"/>
    <w:rsid w:val="00416808"/>
    <w:rsid w:val="00423E92"/>
    <w:rsid w:val="004257F1"/>
    <w:rsid w:val="00426D44"/>
    <w:rsid w:val="00431305"/>
    <w:rsid w:val="0043375F"/>
    <w:rsid w:val="00433A14"/>
    <w:rsid w:val="00433CED"/>
    <w:rsid w:val="00435E83"/>
    <w:rsid w:val="00435EAF"/>
    <w:rsid w:val="00436057"/>
    <w:rsid w:val="004366AE"/>
    <w:rsid w:val="00437FE2"/>
    <w:rsid w:val="00441E1B"/>
    <w:rsid w:val="0044371A"/>
    <w:rsid w:val="00443F09"/>
    <w:rsid w:val="00445572"/>
    <w:rsid w:val="00445AEE"/>
    <w:rsid w:val="0044662C"/>
    <w:rsid w:val="00446A71"/>
    <w:rsid w:val="0045258D"/>
    <w:rsid w:val="00454696"/>
    <w:rsid w:val="0045683C"/>
    <w:rsid w:val="004616FF"/>
    <w:rsid w:val="004632DA"/>
    <w:rsid w:val="0046598B"/>
    <w:rsid w:val="00470DF0"/>
    <w:rsid w:val="004759ED"/>
    <w:rsid w:val="00477BEB"/>
    <w:rsid w:val="00480BCA"/>
    <w:rsid w:val="004839F5"/>
    <w:rsid w:val="00484F93"/>
    <w:rsid w:val="004855BF"/>
    <w:rsid w:val="0049064E"/>
    <w:rsid w:val="004945F7"/>
    <w:rsid w:val="004957BB"/>
    <w:rsid w:val="00497F14"/>
    <w:rsid w:val="004A06B8"/>
    <w:rsid w:val="004A21AD"/>
    <w:rsid w:val="004A2C85"/>
    <w:rsid w:val="004A6651"/>
    <w:rsid w:val="004AB79D"/>
    <w:rsid w:val="004B2CB0"/>
    <w:rsid w:val="004B4E25"/>
    <w:rsid w:val="004B5132"/>
    <w:rsid w:val="004B58D1"/>
    <w:rsid w:val="004B7B8B"/>
    <w:rsid w:val="004C1180"/>
    <w:rsid w:val="004C128C"/>
    <w:rsid w:val="004C18F6"/>
    <w:rsid w:val="004C59E4"/>
    <w:rsid w:val="004C6518"/>
    <w:rsid w:val="004C7480"/>
    <w:rsid w:val="004D0B40"/>
    <w:rsid w:val="004D24EB"/>
    <w:rsid w:val="004D285E"/>
    <w:rsid w:val="004D65CF"/>
    <w:rsid w:val="004D688C"/>
    <w:rsid w:val="004D787E"/>
    <w:rsid w:val="004E1048"/>
    <w:rsid w:val="004E58AE"/>
    <w:rsid w:val="004F013F"/>
    <w:rsid w:val="004F1BBD"/>
    <w:rsid w:val="004F20A9"/>
    <w:rsid w:val="004F556E"/>
    <w:rsid w:val="004F72C7"/>
    <w:rsid w:val="004F73E8"/>
    <w:rsid w:val="00501B87"/>
    <w:rsid w:val="00501E93"/>
    <w:rsid w:val="0050351D"/>
    <w:rsid w:val="00503755"/>
    <w:rsid w:val="00506DDB"/>
    <w:rsid w:val="0051316F"/>
    <w:rsid w:val="00513EB8"/>
    <w:rsid w:val="00516FEA"/>
    <w:rsid w:val="00517F17"/>
    <w:rsid w:val="00520BDB"/>
    <w:rsid w:val="00523958"/>
    <w:rsid w:val="00531C9E"/>
    <w:rsid w:val="0053301E"/>
    <w:rsid w:val="00533D74"/>
    <w:rsid w:val="00536AF1"/>
    <w:rsid w:val="005370B2"/>
    <w:rsid w:val="00537999"/>
    <w:rsid w:val="00537B41"/>
    <w:rsid w:val="005400C8"/>
    <w:rsid w:val="00541A31"/>
    <w:rsid w:val="00543E44"/>
    <w:rsid w:val="00543FDE"/>
    <w:rsid w:val="005459DE"/>
    <w:rsid w:val="00546522"/>
    <w:rsid w:val="00546AAA"/>
    <w:rsid w:val="00547258"/>
    <w:rsid w:val="00547FAA"/>
    <w:rsid w:val="00552197"/>
    <w:rsid w:val="00552F1C"/>
    <w:rsid w:val="005563F8"/>
    <w:rsid w:val="00562166"/>
    <w:rsid w:val="00565FB4"/>
    <w:rsid w:val="00566DDA"/>
    <w:rsid w:val="00571369"/>
    <w:rsid w:val="00574F28"/>
    <w:rsid w:val="00576C8D"/>
    <w:rsid w:val="005775FE"/>
    <w:rsid w:val="005833C7"/>
    <w:rsid w:val="0058793B"/>
    <w:rsid w:val="005917FA"/>
    <w:rsid w:val="00591CC8"/>
    <w:rsid w:val="00592D1A"/>
    <w:rsid w:val="0059339D"/>
    <w:rsid w:val="005940F9"/>
    <w:rsid w:val="00596D03"/>
    <w:rsid w:val="005978C2"/>
    <w:rsid w:val="005A0DE7"/>
    <w:rsid w:val="005A2F95"/>
    <w:rsid w:val="005A355D"/>
    <w:rsid w:val="005A6589"/>
    <w:rsid w:val="005A7647"/>
    <w:rsid w:val="005B210C"/>
    <w:rsid w:val="005B241C"/>
    <w:rsid w:val="005B27D0"/>
    <w:rsid w:val="005B2979"/>
    <w:rsid w:val="005C7655"/>
    <w:rsid w:val="005C7C79"/>
    <w:rsid w:val="005D0CF9"/>
    <w:rsid w:val="005D1BC5"/>
    <w:rsid w:val="005D2D7A"/>
    <w:rsid w:val="005D34A1"/>
    <w:rsid w:val="005D381F"/>
    <w:rsid w:val="005D3970"/>
    <w:rsid w:val="005D3F3D"/>
    <w:rsid w:val="005D40B0"/>
    <w:rsid w:val="005D7026"/>
    <w:rsid w:val="005D73CB"/>
    <w:rsid w:val="005F0745"/>
    <w:rsid w:val="005F186F"/>
    <w:rsid w:val="005F2262"/>
    <w:rsid w:val="005F2611"/>
    <w:rsid w:val="005F28FE"/>
    <w:rsid w:val="005F2EF9"/>
    <w:rsid w:val="005F3D48"/>
    <w:rsid w:val="005F4D3E"/>
    <w:rsid w:val="005F62FB"/>
    <w:rsid w:val="005F797C"/>
    <w:rsid w:val="005F79CC"/>
    <w:rsid w:val="00602577"/>
    <w:rsid w:val="006029E2"/>
    <w:rsid w:val="00602E1A"/>
    <w:rsid w:val="00603039"/>
    <w:rsid w:val="00603EA6"/>
    <w:rsid w:val="00603FC1"/>
    <w:rsid w:val="0060521E"/>
    <w:rsid w:val="00607518"/>
    <w:rsid w:val="006075BE"/>
    <w:rsid w:val="006076EB"/>
    <w:rsid w:val="00610FCA"/>
    <w:rsid w:val="0061381E"/>
    <w:rsid w:val="00615023"/>
    <w:rsid w:val="006159CC"/>
    <w:rsid w:val="006173D0"/>
    <w:rsid w:val="006201D7"/>
    <w:rsid w:val="006208C6"/>
    <w:rsid w:val="00620AAF"/>
    <w:rsid w:val="00623A27"/>
    <w:rsid w:val="006251CD"/>
    <w:rsid w:val="00625CC5"/>
    <w:rsid w:val="006267BF"/>
    <w:rsid w:val="00626928"/>
    <w:rsid w:val="00626CA4"/>
    <w:rsid w:val="0062796C"/>
    <w:rsid w:val="00630355"/>
    <w:rsid w:val="00631848"/>
    <w:rsid w:val="00636951"/>
    <w:rsid w:val="006403F9"/>
    <w:rsid w:val="006422B3"/>
    <w:rsid w:val="006427AA"/>
    <w:rsid w:val="006429D7"/>
    <w:rsid w:val="00643201"/>
    <w:rsid w:val="006454DC"/>
    <w:rsid w:val="0065196F"/>
    <w:rsid w:val="00654DF3"/>
    <w:rsid w:val="00657D2D"/>
    <w:rsid w:val="00661E36"/>
    <w:rsid w:val="00663E60"/>
    <w:rsid w:val="00663EAD"/>
    <w:rsid w:val="006674FC"/>
    <w:rsid w:val="0067082F"/>
    <w:rsid w:val="006719C9"/>
    <w:rsid w:val="00671DBB"/>
    <w:rsid w:val="006750F2"/>
    <w:rsid w:val="00675B34"/>
    <w:rsid w:val="00681AFF"/>
    <w:rsid w:val="00682080"/>
    <w:rsid w:val="00682332"/>
    <w:rsid w:val="006824E5"/>
    <w:rsid w:val="006829FA"/>
    <w:rsid w:val="00684ABF"/>
    <w:rsid w:val="00685BF1"/>
    <w:rsid w:val="0068641E"/>
    <w:rsid w:val="0069223B"/>
    <w:rsid w:val="00692AE7"/>
    <w:rsid w:val="00697A16"/>
    <w:rsid w:val="00697F67"/>
    <w:rsid w:val="006A131D"/>
    <w:rsid w:val="006A1CF0"/>
    <w:rsid w:val="006A2795"/>
    <w:rsid w:val="006A39D8"/>
    <w:rsid w:val="006A61FA"/>
    <w:rsid w:val="006A647D"/>
    <w:rsid w:val="006A6E48"/>
    <w:rsid w:val="006A72D0"/>
    <w:rsid w:val="006B0488"/>
    <w:rsid w:val="006B089B"/>
    <w:rsid w:val="006B3301"/>
    <w:rsid w:val="006B3932"/>
    <w:rsid w:val="006B3F8F"/>
    <w:rsid w:val="006B56FC"/>
    <w:rsid w:val="006C0869"/>
    <w:rsid w:val="006C2112"/>
    <w:rsid w:val="006C23DC"/>
    <w:rsid w:val="006C480E"/>
    <w:rsid w:val="006C7B63"/>
    <w:rsid w:val="006C7E44"/>
    <w:rsid w:val="006D56BE"/>
    <w:rsid w:val="006D68D6"/>
    <w:rsid w:val="006E086B"/>
    <w:rsid w:val="006E24BD"/>
    <w:rsid w:val="006E2EA3"/>
    <w:rsid w:val="006E350F"/>
    <w:rsid w:val="006E5D6D"/>
    <w:rsid w:val="006E7073"/>
    <w:rsid w:val="006E70FF"/>
    <w:rsid w:val="006E763E"/>
    <w:rsid w:val="006F173B"/>
    <w:rsid w:val="006F2781"/>
    <w:rsid w:val="006F300C"/>
    <w:rsid w:val="006F516A"/>
    <w:rsid w:val="006F6232"/>
    <w:rsid w:val="006F6D60"/>
    <w:rsid w:val="006F7DFC"/>
    <w:rsid w:val="00700E6F"/>
    <w:rsid w:val="00701DEB"/>
    <w:rsid w:val="00701FC8"/>
    <w:rsid w:val="007028DA"/>
    <w:rsid w:val="00703357"/>
    <w:rsid w:val="0070365E"/>
    <w:rsid w:val="007038FA"/>
    <w:rsid w:val="00704388"/>
    <w:rsid w:val="00711110"/>
    <w:rsid w:val="00714808"/>
    <w:rsid w:val="00714E79"/>
    <w:rsid w:val="0071532B"/>
    <w:rsid w:val="0071686C"/>
    <w:rsid w:val="007217B8"/>
    <w:rsid w:val="007219A9"/>
    <w:rsid w:val="007239F8"/>
    <w:rsid w:val="0073024C"/>
    <w:rsid w:val="007349AB"/>
    <w:rsid w:val="00735520"/>
    <w:rsid w:val="00736A39"/>
    <w:rsid w:val="007377D4"/>
    <w:rsid w:val="00737892"/>
    <w:rsid w:val="00742169"/>
    <w:rsid w:val="0074286F"/>
    <w:rsid w:val="0074439A"/>
    <w:rsid w:val="00744827"/>
    <w:rsid w:val="00745E61"/>
    <w:rsid w:val="0074733E"/>
    <w:rsid w:val="00747A2E"/>
    <w:rsid w:val="00753569"/>
    <w:rsid w:val="00753B4D"/>
    <w:rsid w:val="00754949"/>
    <w:rsid w:val="00756753"/>
    <w:rsid w:val="00761C1B"/>
    <w:rsid w:val="00765A12"/>
    <w:rsid w:val="007660B9"/>
    <w:rsid w:val="007676A8"/>
    <w:rsid w:val="00770F1D"/>
    <w:rsid w:val="007710F7"/>
    <w:rsid w:val="007763C3"/>
    <w:rsid w:val="00780AC4"/>
    <w:rsid w:val="00781182"/>
    <w:rsid w:val="007813A0"/>
    <w:rsid w:val="00781515"/>
    <w:rsid w:val="00781525"/>
    <w:rsid w:val="00781797"/>
    <w:rsid w:val="0078314E"/>
    <w:rsid w:val="00783463"/>
    <w:rsid w:val="007836C4"/>
    <w:rsid w:val="00784DCE"/>
    <w:rsid w:val="007861C7"/>
    <w:rsid w:val="00790EB2"/>
    <w:rsid w:val="007939ED"/>
    <w:rsid w:val="007956C4"/>
    <w:rsid w:val="007A27C5"/>
    <w:rsid w:val="007A43FF"/>
    <w:rsid w:val="007A4FC3"/>
    <w:rsid w:val="007A52E1"/>
    <w:rsid w:val="007A6FC6"/>
    <w:rsid w:val="007B130D"/>
    <w:rsid w:val="007B57E1"/>
    <w:rsid w:val="007C26FB"/>
    <w:rsid w:val="007C2781"/>
    <w:rsid w:val="007C29CC"/>
    <w:rsid w:val="007C2EF0"/>
    <w:rsid w:val="007C318A"/>
    <w:rsid w:val="007C3F60"/>
    <w:rsid w:val="007C62DC"/>
    <w:rsid w:val="007C6465"/>
    <w:rsid w:val="007D680C"/>
    <w:rsid w:val="007D6A17"/>
    <w:rsid w:val="007E12B6"/>
    <w:rsid w:val="007E58DF"/>
    <w:rsid w:val="007F0333"/>
    <w:rsid w:val="007F6ACD"/>
    <w:rsid w:val="007F7FED"/>
    <w:rsid w:val="00802228"/>
    <w:rsid w:val="0080407E"/>
    <w:rsid w:val="008051C4"/>
    <w:rsid w:val="00805B42"/>
    <w:rsid w:val="00806393"/>
    <w:rsid w:val="0081160E"/>
    <w:rsid w:val="00814AA7"/>
    <w:rsid w:val="0081512D"/>
    <w:rsid w:val="00817B50"/>
    <w:rsid w:val="00820E0F"/>
    <w:rsid w:val="00825410"/>
    <w:rsid w:val="008275B9"/>
    <w:rsid w:val="0083092A"/>
    <w:rsid w:val="0083261D"/>
    <w:rsid w:val="00832746"/>
    <w:rsid w:val="00832D89"/>
    <w:rsid w:val="00833349"/>
    <w:rsid w:val="00834D37"/>
    <w:rsid w:val="0083503B"/>
    <w:rsid w:val="0083565D"/>
    <w:rsid w:val="00836CDF"/>
    <w:rsid w:val="00840865"/>
    <w:rsid w:val="00841D41"/>
    <w:rsid w:val="008436AB"/>
    <w:rsid w:val="00844739"/>
    <w:rsid w:val="0084486B"/>
    <w:rsid w:val="008458B7"/>
    <w:rsid w:val="0085192F"/>
    <w:rsid w:val="00852B2D"/>
    <w:rsid w:val="008600E9"/>
    <w:rsid w:val="0086151D"/>
    <w:rsid w:val="0086186E"/>
    <w:rsid w:val="0086530B"/>
    <w:rsid w:val="0086672B"/>
    <w:rsid w:val="008668C0"/>
    <w:rsid w:val="00866CBA"/>
    <w:rsid w:val="008678C1"/>
    <w:rsid w:val="00870B43"/>
    <w:rsid w:val="00871723"/>
    <w:rsid w:val="00873DED"/>
    <w:rsid w:val="008751B0"/>
    <w:rsid w:val="0087649A"/>
    <w:rsid w:val="00877425"/>
    <w:rsid w:val="008777F4"/>
    <w:rsid w:val="00880786"/>
    <w:rsid w:val="00880988"/>
    <w:rsid w:val="0088143E"/>
    <w:rsid w:val="008874F7"/>
    <w:rsid w:val="00891D37"/>
    <w:rsid w:val="008925FE"/>
    <w:rsid w:val="00893828"/>
    <w:rsid w:val="0089415B"/>
    <w:rsid w:val="0089592C"/>
    <w:rsid w:val="00897435"/>
    <w:rsid w:val="008A015D"/>
    <w:rsid w:val="008A0E28"/>
    <w:rsid w:val="008A44BA"/>
    <w:rsid w:val="008A5FBB"/>
    <w:rsid w:val="008A6759"/>
    <w:rsid w:val="008A75DC"/>
    <w:rsid w:val="008B13B1"/>
    <w:rsid w:val="008B22E6"/>
    <w:rsid w:val="008B493F"/>
    <w:rsid w:val="008C0645"/>
    <w:rsid w:val="008C0E27"/>
    <w:rsid w:val="008C115E"/>
    <w:rsid w:val="008C1BBC"/>
    <w:rsid w:val="008C2A75"/>
    <w:rsid w:val="008C37E7"/>
    <w:rsid w:val="008C6048"/>
    <w:rsid w:val="008D0504"/>
    <w:rsid w:val="008D1256"/>
    <w:rsid w:val="008D275A"/>
    <w:rsid w:val="008E04D7"/>
    <w:rsid w:val="008E109E"/>
    <w:rsid w:val="008E66E6"/>
    <w:rsid w:val="008F112A"/>
    <w:rsid w:val="008F24EA"/>
    <w:rsid w:val="008F3EAA"/>
    <w:rsid w:val="009003EF"/>
    <w:rsid w:val="00900D4B"/>
    <w:rsid w:val="00900F8A"/>
    <w:rsid w:val="009013D8"/>
    <w:rsid w:val="009014BC"/>
    <w:rsid w:val="00902CAC"/>
    <w:rsid w:val="009036CA"/>
    <w:rsid w:val="009042EC"/>
    <w:rsid w:val="00904E73"/>
    <w:rsid w:val="00905A8E"/>
    <w:rsid w:val="00906D76"/>
    <w:rsid w:val="00917F95"/>
    <w:rsid w:val="00922309"/>
    <w:rsid w:val="00922A19"/>
    <w:rsid w:val="00923EDF"/>
    <w:rsid w:val="00926760"/>
    <w:rsid w:val="00927B2D"/>
    <w:rsid w:val="00933CAD"/>
    <w:rsid w:val="00934A51"/>
    <w:rsid w:val="00935AD4"/>
    <w:rsid w:val="00937CE1"/>
    <w:rsid w:val="0094035A"/>
    <w:rsid w:val="00940C31"/>
    <w:rsid w:val="00942052"/>
    <w:rsid w:val="0094513B"/>
    <w:rsid w:val="0094688C"/>
    <w:rsid w:val="00952541"/>
    <w:rsid w:val="00952602"/>
    <w:rsid w:val="00957258"/>
    <w:rsid w:val="00957B1E"/>
    <w:rsid w:val="00960A46"/>
    <w:rsid w:val="00962845"/>
    <w:rsid w:val="00963FB3"/>
    <w:rsid w:val="009672EB"/>
    <w:rsid w:val="00967A8C"/>
    <w:rsid w:val="009714F2"/>
    <w:rsid w:val="00972D4B"/>
    <w:rsid w:val="00973090"/>
    <w:rsid w:val="00980340"/>
    <w:rsid w:val="0098406F"/>
    <w:rsid w:val="0098539A"/>
    <w:rsid w:val="00985EFF"/>
    <w:rsid w:val="00992709"/>
    <w:rsid w:val="00993AAB"/>
    <w:rsid w:val="0099436F"/>
    <w:rsid w:val="009955E6"/>
    <w:rsid w:val="009959E0"/>
    <w:rsid w:val="00996BEA"/>
    <w:rsid w:val="009A089E"/>
    <w:rsid w:val="009A1FCA"/>
    <w:rsid w:val="009A2CD0"/>
    <w:rsid w:val="009A33FB"/>
    <w:rsid w:val="009A47BA"/>
    <w:rsid w:val="009A5056"/>
    <w:rsid w:val="009B1A44"/>
    <w:rsid w:val="009B2665"/>
    <w:rsid w:val="009B300F"/>
    <w:rsid w:val="009B4379"/>
    <w:rsid w:val="009B59C7"/>
    <w:rsid w:val="009B686D"/>
    <w:rsid w:val="009B6AB3"/>
    <w:rsid w:val="009B77BC"/>
    <w:rsid w:val="009C13AB"/>
    <w:rsid w:val="009C1741"/>
    <w:rsid w:val="009C2AC4"/>
    <w:rsid w:val="009C30AB"/>
    <w:rsid w:val="009D161E"/>
    <w:rsid w:val="009D33BC"/>
    <w:rsid w:val="009D7F4D"/>
    <w:rsid w:val="009E041C"/>
    <w:rsid w:val="009E0819"/>
    <w:rsid w:val="009E3ADA"/>
    <w:rsid w:val="009F1206"/>
    <w:rsid w:val="009F5D36"/>
    <w:rsid w:val="009F700B"/>
    <w:rsid w:val="009F751D"/>
    <w:rsid w:val="00A0037F"/>
    <w:rsid w:val="00A00EF2"/>
    <w:rsid w:val="00A01E80"/>
    <w:rsid w:val="00A067A8"/>
    <w:rsid w:val="00A069F9"/>
    <w:rsid w:val="00A07F0E"/>
    <w:rsid w:val="00A10AC2"/>
    <w:rsid w:val="00A15B22"/>
    <w:rsid w:val="00A173EC"/>
    <w:rsid w:val="00A17F9A"/>
    <w:rsid w:val="00A273B6"/>
    <w:rsid w:val="00A30588"/>
    <w:rsid w:val="00A3076D"/>
    <w:rsid w:val="00A3341A"/>
    <w:rsid w:val="00A336E8"/>
    <w:rsid w:val="00A346CA"/>
    <w:rsid w:val="00A37FB5"/>
    <w:rsid w:val="00A40340"/>
    <w:rsid w:val="00A437D2"/>
    <w:rsid w:val="00A477A0"/>
    <w:rsid w:val="00A47C07"/>
    <w:rsid w:val="00A50BDE"/>
    <w:rsid w:val="00A5524F"/>
    <w:rsid w:val="00A56964"/>
    <w:rsid w:val="00A575B7"/>
    <w:rsid w:val="00A60F08"/>
    <w:rsid w:val="00A61711"/>
    <w:rsid w:val="00A62F19"/>
    <w:rsid w:val="00A633B7"/>
    <w:rsid w:val="00A63A3E"/>
    <w:rsid w:val="00A66C34"/>
    <w:rsid w:val="00A72CE5"/>
    <w:rsid w:val="00A72DF9"/>
    <w:rsid w:val="00A73CFD"/>
    <w:rsid w:val="00A74087"/>
    <w:rsid w:val="00A77784"/>
    <w:rsid w:val="00A77E87"/>
    <w:rsid w:val="00A80863"/>
    <w:rsid w:val="00A81616"/>
    <w:rsid w:val="00A8268C"/>
    <w:rsid w:val="00A826C8"/>
    <w:rsid w:val="00A8365E"/>
    <w:rsid w:val="00A85E4C"/>
    <w:rsid w:val="00A944CD"/>
    <w:rsid w:val="00A9488D"/>
    <w:rsid w:val="00A94E35"/>
    <w:rsid w:val="00A95355"/>
    <w:rsid w:val="00AA41F7"/>
    <w:rsid w:val="00AA61E2"/>
    <w:rsid w:val="00AB01E1"/>
    <w:rsid w:val="00AB0694"/>
    <w:rsid w:val="00AB1D8A"/>
    <w:rsid w:val="00AB350C"/>
    <w:rsid w:val="00AB3C78"/>
    <w:rsid w:val="00AB4BF8"/>
    <w:rsid w:val="00AB5C1C"/>
    <w:rsid w:val="00AB6C9B"/>
    <w:rsid w:val="00AC1AA3"/>
    <w:rsid w:val="00AC28E0"/>
    <w:rsid w:val="00AC4EB2"/>
    <w:rsid w:val="00AC7334"/>
    <w:rsid w:val="00AC7F21"/>
    <w:rsid w:val="00AD0F94"/>
    <w:rsid w:val="00AD1F37"/>
    <w:rsid w:val="00AD5B6F"/>
    <w:rsid w:val="00AD5EF2"/>
    <w:rsid w:val="00AD70ED"/>
    <w:rsid w:val="00AD7E0B"/>
    <w:rsid w:val="00AE0E38"/>
    <w:rsid w:val="00AE11C4"/>
    <w:rsid w:val="00AE293B"/>
    <w:rsid w:val="00AE297B"/>
    <w:rsid w:val="00AE39BE"/>
    <w:rsid w:val="00AE4376"/>
    <w:rsid w:val="00AE58D5"/>
    <w:rsid w:val="00AE58F8"/>
    <w:rsid w:val="00AE6686"/>
    <w:rsid w:val="00AF610C"/>
    <w:rsid w:val="00AF6186"/>
    <w:rsid w:val="00AF7794"/>
    <w:rsid w:val="00B000E9"/>
    <w:rsid w:val="00B00DCF"/>
    <w:rsid w:val="00B01750"/>
    <w:rsid w:val="00B0259B"/>
    <w:rsid w:val="00B03305"/>
    <w:rsid w:val="00B06546"/>
    <w:rsid w:val="00B0727C"/>
    <w:rsid w:val="00B13055"/>
    <w:rsid w:val="00B13688"/>
    <w:rsid w:val="00B14DAE"/>
    <w:rsid w:val="00B151B4"/>
    <w:rsid w:val="00B154DD"/>
    <w:rsid w:val="00B20601"/>
    <w:rsid w:val="00B22016"/>
    <w:rsid w:val="00B23209"/>
    <w:rsid w:val="00B24D0A"/>
    <w:rsid w:val="00B25962"/>
    <w:rsid w:val="00B27850"/>
    <w:rsid w:val="00B32C89"/>
    <w:rsid w:val="00B3317D"/>
    <w:rsid w:val="00B335CA"/>
    <w:rsid w:val="00B33A4E"/>
    <w:rsid w:val="00B36583"/>
    <w:rsid w:val="00B37705"/>
    <w:rsid w:val="00B41ACF"/>
    <w:rsid w:val="00B4392C"/>
    <w:rsid w:val="00B439A9"/>
    <w:rsid w:val="00B441C5"/>
    <w:rsid w:val="00B44E2C"/>
    <w:rsid w:val="00B44E4A"/>
    <w:rsid w:val="00B455C1"/>
    <w:rsid w:val="00B506A3"/>
    <w:rsid w:val="00B517F1"/>
    <w:rsid w:val="00B52AB2"/>
    <w:rsid w:val="00B52B5E"/>
    <w:rsid w:val="00B53058"/>
    <w:rsid w:val="00B60C34"/>
    <w:rsid w:val="00B62B94"/>
    <w:rsid w:val="00B64113"/>
    <w:rsid w:val="00B65761"/>
    <w:rsid w:val="00B70BA6"/>
    <w:rsid w:val="00B74653"/>
    <w:rsid w:val="00B748BB"/>
    <w:rsid w:val="00B7713B"/>
    <w:rsid w:val="00B80BAC"/>
    <w:rsid w:val="00B83302"/>
    <w:rsid w:val="00B83B2F"/>
    <w:rsid w:val="00B83B32"/>
    <w:rsid w:val="00B86340"/>
    <w:rsid w:val="00B87E45"/>
    <w:rsid w:val="00B90805"/>
    <w:rsid w:val="00B92BF8"/>
    <w:rsid w:val="00B9370D"/>
    <w:rsid w:val="00B95533"/>
    <w:rsid w:val="00B97891"/>
    <w:rsid w:val="00BA2E17"/>
    <w:rsid w:val="00BA373C"/>
    <w:rsid w:val="00BA57D0"/>
    <w:rsid w:val="00BA5DFA"/>
    <w:rsid w:val="00BB004A"/>
    <w:rsid w:val="00BB0F68"/>
    <w:rsid w:val="00BB1FFF"/>
    <w:rsid w:val="00BB2567"/>
    <w:rsid w:val="00BB42E3"/>
    <w:rsid w:val="00BB5124"/>
    <w:rsid w:val="00BC16F6"/>
    <w:rsid w:val="00BC1871"/>
    <w:rsid w:val="00BC21F8"/>
    <w:rsid w:val="00BC24CA"/>
    <w:rsid w:val="00BC44E1"/>
    <w:rsid w:val="00BC743F"/>
    <w:rsid w:val="00BD113A"/>
    <w:rsid w:val="00BD2B9F"/>
    <w:rsid w:val="00BD35B3"/>
    <w:rsid w:val="00BD3DA8"/>
    <w:rsid w:val="00BD45D5"/>
    <w:rsid w:val="00BD6F75"/>
    <w:rsid w:val="00BD764D"/>
    <w:rsid w:val="00BE0D85"/>
    <w:rsid w:val="00BE3DAA"/>
    <w:rsid w:val="00BE4118"/>
    <w:rsid w:val="00BE64F3"/>
    <w:rsid w:val="00BF4FEC"/>
    <w:rsid w:val="00C00697"/>
    <w:rsid w:val="00C0095A"/>
    <w:rsid w:val="00C02920"/>
    <w:rsid w:val="00C040BA"/>
    <w:rsid w:val="00C05370"/>
    <w:rsid w:val="00C05383"/>
    <w:rsid w:val="00C11D11"/>
    <w:rsid w:val="00C12A75"/>
    <w:rsid w:val="00C14BB8"/>
    <w:rsid w:val="00C161D7"/>
    <w:rsid w:val="00C16384"/>
    <w:rsid w:val="00C164C4"/>
    <w:rsid w:val="00C241A5"/>
    <w:rsid w:val="00C26400"/>
    <w:rsid w:val="00C37C73"/>
    <w:rsid w:val="00C41B86"/>
    <w:rsid w:val="00C421D0"/>
    <w:rsid w:val="00C464A7"/>
    <w:rsid w:val="00C511C3"/>
    <w:rsid w:val="00C51C42"/>
    <w:rsid w:val="00C52329"/>
    <w:rsid w:val="00C52ADF"/>
    <w:rsid w:val="00C545B2"/>
    <w:rsid w:val="00C5463C"/>
    <w:rsid w:val="00C54F6D"/>
    <w:rsid w:val="00C55FEB"/>
    <w:rsid w:val="00C5771B"/>
    <w:rsid w:val="00C57C1F"/>
    <w:rsid w:val="00C57F4E"/>
    <w:rsid w:val="00C66A73"/>
    <w:rsid w:val="00C67AA6"/>
    <w:rsid w:val="00C70FE8"/>
    <w:rsid w:val="00C725C3"/>
    <w:rsid w:val="00C72EE3"/>
    <w:rsid w:val="00C80C23"/>
    <w:rsid w:val="00C80CAE"/>
    <w:rsid w:val="00C80FB5"/>
    <w:rsid w:val="00C81072"/>
    <w:rsid w:val="00C84045"/>
    <w:rsid w:val="00C8528C"/>
    <w:rsid w:val="00C86AD9"/>
    <w:rsid w:val="00C86F22"/>
    <w:rsid w:val="00C91A83"/>
    <w:rsid w:val="00C95E17"/>
    <w:rsid w:val="00C9650F"/>
    <w:rsid w:val="00C9710F"/>
    <w:rsid w:val="00C9741E"/>
    <w:rsid w:val="00CA1064"/>
    <w:rsid w:val="00CA33C7"/>
    <w:rsid w:val="00CB09E6"/>
    <w:rsid w:val="00CB1FCF"/>
    <w:rsid w:val="00CB2C58"/>
    <w:rsid w:val="00CB3310"/>
    <w:rsid w:val="00CB38A3"/>
    <w:rsid w:val="00CB3B70"/>
    <w:rsid w:val="00CB4266"/>
    <w:rsid w:val="00CC10D7"/>
    <w:rsid w:val="00CC1475"/>
    <w:rsid w:val="00CC1CB3"/>
    <w:rsid w:val="00CC36DB"/>
    <w:rsid w:val="00CC438D"/>
    <w:rsid w:val="00CC6B7E"/>
    <w:rsid w:val="00CC7550"/>
    <w:rsid w:val="00CD019A"/>
    <w:rsid w:val="00CD4778"/>
    <w:rsid w:val="00CD5C89"/>
    <w:rsid w:val="00CD730D"/>
    <w:rsid w:val="00CD79E3"/>
    <w:rsid w:val="00CD7F2B"/>
    <w:rsid w:val="00CD7FD0"/>
    <w:rsid w:val="00CE023D"/>
    <w:rsid w:val="00CE1635"/>
    <w:rsid w:val="00CE34AD"/>
    <w:rsid w:val="00CE6A45"/>
    <w:rsid w:val="00CF0D33"/>
    <w:rsid w:val="00CF2952"/>
    <w:rsid w:val="00CF39C2"/>
    <w:rsid w:val="00CF4B86"/>
    <w:rsid w:val="00CF7819"/>
    <w:rsid w:val="00D03FFA"/>
    <w:rsid w:val="00D10B36"/>
    <w:rsid w:val="00D11566"/>
    <w:rsid w:val="00D135FC"/>
    <w:rsid w:val="00D16BCC"/>
    <w:rsid w:val="00D171A8"/>
    <w:rsid w:val="00D27BC0"/>
    <w:rsid w:val="00D3107A"/>
    <w:rsid w:val="00D3197E"/>
    <w:rsid w:val="00D32EA4"/>
    <w:rsid w:val="00D40FB7"/>
    <w:rsid w:val="00D41A54"/>
    <w:rsid w:val="00D44A69"/>
    <w:rsid w:val="00D45BE7"/>
    <w:rsid w:val="00D4602A"/>
    <w:rsid w:val="00D4643A"/>
    <w:rsid w:val="00D46EB7"/>
    <w:rsid w:val="00D509EA"/>
    <w:rsid w:val="00D52159"/>
    <w:rsid w:val="00D52AB3"/>
    <w:rsid w:val="00D54679"/>
    <w:rsid w:val="00D54C52"/>
    <w:rsid w:val="00D54CE5"/>
    <w:rsid w:val="00D55E22"/>
    <w:rsid w:val="00D611A9"/>
    <w:rsid w:val="00D61F26"/>
    <w:rsid w:val="00D620F7"/>
    <w:rsid w:val="00D621F3"/>
    <w:rsid w:val="00D65459"/>
    <w:rsid w:val="00D66E9A"/>
    <w:rsid w:val="00D71DCB"/>
    <w:rsid w:val="00D722FE"/>
    <w:rsid w:val="00D72331"/>
    <w:rsid w:val="00D76366"/>
    <w:rsid w:val="00D9012E"/>
    <w:rsid w:val="00D90897"/>
    <w:rsid w:val="00D921A9"/>
    <w:rsid w:val="00D93BE5"/>
    <w:rsid w:val="00D96B8F"/>
    <w:rsid w:val="00DA1AFA"/>
    <w:rsid w:val="00DA3036"/>
    <w:rsid w:val="00DB015B"/>
    <w:rsid w:val="00DB20CE"/>
    <w:rsid w:val="00DB35E7"/>
    <w:rsid w:val="00DB5E67"/>
    <w:rsid w:val="00DB6F16"/>
    <w:rsid w:val="00DB70B2"/>
    <w:rsid w:val="00DC2ADB"/>
    <w:rsid w:val="00DC3380"/>
    <w:rsid w:val="00DC4218"/>
    <w:rsid w:val="00DC716B"/>
    <w:rsid w:val="00DD6C35"/>
    <w:rsid w:val="00DE1473"/>
    <w:rsid w:val="00DE193D"/>
    <w:rsid w:val="00DE710F"/>
    <w:rsid w:val="00DE7EED"/>
    <w:rsid w:val="00DF25BA"/>
    <w:rsid w:val="00DF269E"/>
    <w:rsid w:val="00E000E1"/>
    <w:rsid w:val="00E01631"/>
    <w:rsid w:val="00E02E5D"/>
    <w:rsid w:val="00E0339A"/>
    <w:rsid w:val="00E1055D"/>
    <w:rsid w:val="00E13CAF"/>
    <w:rsid w:val="00E14B90"/>
    <w:rsid w:val="00E15C85"/>
    <w:rsid w:val="00E204A7"/>
    <w:rsid w:val="00E23B18"/>
    <w:rsid w:val="00E26EED"/>
    <w:rsid w:val="00E271EE"/>
    <w:rsid w:val="00E3105E"/>
    <w:rsid w:val="00E3450B"/>
    <w:rsid w:val="00E36EF5"/>
    <w:rsid w:val="00E401B3"/>
    <w:rsid w:val="00E438AA"/>
    <w:rsid w:val="00E46BA5"/>
    <w:rsid w:val="00E46F31"/>
    <w:rsid w:val="00E47650"/>
    <w:rsid w:val="00E50185"/>
    <w:rsid w:val="00E544C3"/>
    <w:rsid w:val="00E557A6"/>
    <w:rsid w:val="00E578B7"/>
    <w:rsid w:val="00E625B7"/>
    <w:rsid w:val="00E63231"/>
    <w:rsid w:val="00E637FA"/>
    <w:rsid w:val="00E6663F"/>
    <w:rsid w:val="00E7329A"/>
    <w:rsid w:val="00E73469"/>
    <w:rsid w:val="00E73F85"/>
    <w:rsid w:val="00E76451"/>
    <w:rsid w:val="00E8016F"/>
    <w:rsid w:val="00E80E52"/>
    <w:rsid w:val="00E816CE"/>
    <w:rsid w:val="00E817E4"/>
    <w:rsid w:val="00E83DA4"/>
    <w:rsid w:val="00E85B2A"/>
    <w:rsid w:val="00E87010"/>
    <w:rsid w:val="00E8769B"/>
    <w:rsid w:val="00E8779A"/>
    <w:rsid w:val="00E90910"/>
    <w:rsid w:val="00E90CFE"/>
    <w:rsid w:val="00E90F85"/>
    <w:rsid w:val="00E90FB5"/>
    <w:rsid w:val="00E9146A"/>
    <w:rsid w:val="00E97421"/>
    <w:rsid w:val="00EA0688"/>
    <w:rsid w:val="00EA19B4"/>
    <w:rsid w:val="00EA4A8E"/>
    <w:rsid w:val="00EA5B65"/>
    <w:rsid w:val="00EB1666"/>
    <w:rsid w:val="00EB25EA"/>
    <w:rsid w:val="00EB3B14"/>
    <w:rsid w:val="00EB461E"/>
    <w:rsid w:val="00EC0059"/>
    <w:rsid w:val="00EC4D04"/>
    <w:rsid w:val="00EC68DB"/>
    <w:rsid w:val="00ED017C"/>
    <w:rsid w:val="00ED0CB2"/>
    <w:rsid w:val="00ED1473"/>
    <w:rsid w:val="00ED334F"/>
    <w:rsid w:val="00ED7388"/>
    <w:rsid w:val="00ED7499"/>
    <w:rsid w:val="00EE08F2"/>
    <w:rsid w:val="00EE1DD7"/>
    <w:rsid w:val="00EE42C5"/>
    <w:rsid w:val="00EF125F"/>
    <w:rsid w:val="00EF2497"/>
    <w:rsid w:val="00EF24E6"/>
    <w:rsid w:val="00EF38A6"/>
    <w:rsid w:val="00EF5062"/>
    <w:rsid w:val="00EF5239"/>
    <w:rsid w:val="00EF69C8"/>
    <w:rsid w:val="00F017E0"/>
    <w:rsid w:val="00F02A81"/>
    <w:rsid w:val="00F02CCE"/>
    <w:rsid w:val="00F03B20"/>
    <w:rsid w:val="00F03C9C"/>
    <w:rsid w:val="00F065A0"/>
    <w:rsid w:val="00F06C1D"/>
    <w:rsid w:val="00F11146"/>
    <w:rsid w:val="00F21646"/>
    <w:rsid w:val="00F21C70"/>
    <w:rsid w:val="00F25830"/>
    <w:rsid w:val="00F26D11"/>
    <w:rsid w:val="00F27CBE"/>
    <w:rsid w:val="00F34AEC"/>
    <w:rsid w:val="00F34F47"/>
    <w:rsid w:val="00F35F80"/>
    <w:rsid w:val="00F37DCC"/>
    <w:rsid w:val="00F410AB"/>
    <w:rsid w:val="00F4121E"/>
    <w:rsid w:val="00F4212B"/>
    <w:rsid w:val="00F427EA"/>
    <w:rsid w:val="00F4356C"/>
    <w:rsid w:val="00F45518"/>
    <w:rsid w:val="00F46D66"/>
    <w:rsid w:val="00F4704F"/>
    <w:rsid w:val="00F50EE3"/>
    <w:rsid w:val="00F5404F"/>
    <w:rsid w:val="00F5461E"/>
    <w:rsid w:val="00F61BF0"/>
    <w:rsid w:val="00F6458A"/>
    <w:rsid w:val="00F651C4"/>
    <w:rsid w:val="00F72636"/>
    <w:rsid w:val="00F74544"/>
    <w:rsid w:val="00F7682E"/>
    <w:rsid w:val="00F8376E"/>
    <w:rsid w:val="00F851CD"/>
    <w:rsid w:val="00F85E30"/>
    <w:rsid w:val="00F86A2D"/>
    <w:rsid w:val="00F86E10"/>
    <w:rsid w:val="00F91265"/>
    <w:rsid w:val="00F92553"/>
    <w:rsid w:val="00F92C57"/>
    <w:rsid w:val="00F9344F"/>
    <w:rsid w:val="00F95C9E"/>
    <w:rsid w:val="00F97B14"/>
    <w:rsid w:val="00FA473F"/>
    <w:rsid w:val="00FA6E1D"/>
    <w:rsid w:val="00FA76C7"/>
    <w:rsid w:val="00FB0C1C"/>
    <w:rsid w:val="00FB20C4"/>
    <w:rsid w:val="00FB2D5B"/>
    <w:rsid w:val="00FB3997"/>
    <w:rsid w:val="00FB3C96"/>
    <w:rsid w:val="00FB47B8"/>
    <w:rsid w:val="00FB60EF"/>
    <w:rsid w:val="00FC23DE"/>
    <w:rsid w:val="00FC3D4F"/>
    <w:rsid w:val="00FC49FB"/>
    <w:rsid w:val="00FC5756"/>
    <w:rsid w:val="00FC7592"/>
    <w:rsid w:val="00FD3596"/>
    <w:rsid w:val="00FD4DCD"/>
    <w:rsid w:val="00FD659E"/>
    <w:rsid w:val="00FE2359"/>
    <w:rsid w:val="00FE3F90"/>
    <w:rsid w:val="00FE53CF"/>
    <w:rsid w:val="00FE6A0D"/>
    <w:rsid w:val="00FE7253"/>
    <w:rsid w:val="00FE7FF4"/>
    <w:rsid w:val="00FF0DBA"/>
    <w:rsid w:val="00FF2D86"/>
    <w:rsid w:val="00FF6000"/>
    <w:rsid w:val="00FF6161"/>
    <w:rsid w:val="00FF79AC"/>
    <w:rsid w:val="00FF7B00"/>
    <w:rsid w:val="016FDCA3"/>
    <w:rsid w:val="01883DE0"/>
    <w:rsid w:val="02D444BD"/>
    <w:rsid w:val="031BBF95"/>
    <w:rsid w:val="033A0179"/>
    <w:rsid w:val="04A9642A"/>
    <w:rsid w:val="04C17C1A"/>
    <w:rsid w:val="06776BCA"/>
    <w:rsid w:val="07CAB050"/>
    <w:rsid w:val="098E0A30"/>
    <w:rsid w:val="09F05D7A"/>
    <w:rsid w:val="0A677D8B"/>
    <w:rsid w:val="0AB66CCB"/>
    <w:rsid w:val="0B168B21"/>
    <w:rsid w:val="0BE7D89F"/>
    <w:rsid w:val="0C760497"/>
    <w:rsid w:val="0E232705"/>
    <w:rsid w:val="0E50A0EB"/>
    <w:rsid w:val="0ECE7D04"/>
    <w:rsid w:val="0ED4BE62"/>
    <w:rsid w:val="0F00157E"/>
    <w:rsid w:val="10872524"/>
    <w:rsid w:val="1185303D"/>
    <w:rsid w:val="11B63D58"/>
    <w:rsid w:val="11D8B039"/>
    <w:rsid w:val="12AFDC9B"/>
    <w:rsid w:val="12DCA69C"/>
    <w:rsid w:val="13D51B10"/>
    <w:rsid w:val="1519B1F6"/>
    <w:rsid w:val="159EA0BC"/>
    <w:rsid w:val="15A9CAD4"/>
    <w:rsid w:val="17D19B60"/>
    <w:rsid w:val="183F842D"/>
    <w:rsid w:val="192FFBAD"/>
    <w:rsid w:val="196A393D"/>
    <w:rsid w:val="198D5471"/>
    <w:rsid w:val="19D271D1"/>
    <w:rsid w:val="1A5CC2D3"/>
    <w:rsid w:val="1AFB4162"/>
    <w:rsid w:val="1B5F1562"/>
    <w:rsid w:val="1BBA1C78"/>
    <w:rsid w:val="1BEA631B"/>
    <w:rsid w:val="1C2DF43F"/>
    <w:rsid w:val="1DE97397"/>
    <w:rsid w:val="1ECA0CD2"/>
    <w:rsid w:val="1FDAA74F"/>
    <w:rsid w:val="21750382"/>
    <w:rsid w:val="2476FAD4"/>
    <w:rsid w:val="24B74445"/>
    <w:rsid w:val="251A58A8"/>
    <w:rsid w:val="268D9CD5"/>
    <w:rsid w:val="27443172"/>
    <w:rsid w:val="28C8867D"/>
    <w:rsid w:val="28CEC828"/>
    <w:rsid w:val="292DC2A6"/>
    <w:rsid w:val="29771E72"/>
    <w:rsid w:val="29E28DB7"/>
    <w:rsid w:val="2A39DF31"/>
    <w:rsid w:val="2C7EF583"/>
    <w:rsid w:val="2C9394D5"/>
    <w:rsid w:val="2F067A14"/>
    <w:rsid w:val="31282779"/>
    <w:rsid w:val="3223FEE6"/>
    <w:rsid w:val="33385F56"/>
    <w:rsid w:val="34557502"/>
    <w:rsid w:val="34C7B6A8"/>
    <w:rsid w:val="353AB592"/>
    <w:rsid w:val="35C42C31"/>
    <w:rsid w:val="361505E9"/>
    <w:rsid w:val="369C8BAB"/>
    <w:rsid w:val="36B481A1"/>
    <w:rsid w:val="371024E9"/>
    <w:rsid w:val="380E20ED"/>
    <w:rsid w:val="38BEFFD7"/>
    <w:rsid w:val="38D6B97D"/>
    <w:rsid w:val="3B619D9F"/>
    <w:rsid w:val="3BF842D1"/>
    <w:rsid w:val="3C10E6A5"/>
    <w:rsid w:val="3D3582B6"/>
    <w:rsid w:val="3DC490AA"/>
    <w:rsid w:val="3E098269"/>
    <w:rsid w:val="4066E28A"/>
    <w:rsid w:val="411FE44C"/>
    <w:rsid w:val="419DAF7A"/>
    <w:rsid w:val="41FC6671"/>
    <w:rsid w:val="425267A7"/>
    <w:rsid w:val="4281930B"/>
    <w:rsid w:val="447797C9"/>
    <w:rsid w:val="447E06C1"/>
    <w:rsid w:val="4526956E"/>
    <w:rsid w:val="4600BAF9"/>
    <w:rsid w:val="470C2148"/>
    <w:rsid w:val="48AA621A"/>
    <w:rsid w:val="48D66225"/>
    <w:rsid w:val="4931EC1E"/>
    <w:rsid w:val="4A31E968"/>
    <w:rsid w:val="4A826549"/>
    <w:rsid w:val="4CD6EA62"/>
    <w:rsid w:val="4D0A7FAC"/>
    <w:rsid w:val="4D6D32B7"/>
    <w:rsid w:val="4E55D32E"/>
    <w:rsid w:val="4EC128C9"/>
    <w:rsid w:val="502527D1"/>
    <w:rsid w:val="52A339C1"/>
    <w:rsid w:val="52BA9039"/>
    <w:rsid w:val="53084B7A"/>
    <w:rsid w:val="533128D3"/>
    <w:rsid w:val="540E914E"/>
    <w:rsid w:val="546E2FAE"/>
    <w:rsid w:val="5590C6C2"/>
    <w:rsid w:val="563B839E"/>
    <w:rsid w:val="56A21E5F"/>
    <w:rsid w:val="56B02909"/>
    <w:rsid w:val="57348F72"/>
    <w:rsid w:val="59093A81"/>
    <w:rsid w:val="5ABF73BF"/>
    <w:rsid w:val="5C7A6A29"/>
    <w:rsid w:val="5E3FB38A"/>
    <w:rsid w:val="608F554B"/>
    <w:rsid w:val="612ADBE3"/>
    <w:rsid w:val="62D0F695"/>
    <w:rsid w:val="632F8A3D"/>
    <w:rsid w:val="64933DD0"/>
    <w:rsid w:val="64B24F9E"/>
    <w:rsid w:val="64FF5D6C"/>
    <w:rsid w:val="6509F730"/>
    <w:rsid w:val="65989B77"/>
    <w:rsid w:val="65C3DD5D"/>
    <w:rsid w:val="66876896"/>
    <w:rsid w:val="6842A3C0"/>
    <w:rsid w:val="6AF54826"/>
    <w:rsid w:val="6D133925"/>
    <w:rsid w:val="6F40C3D0"/>
    <w:rsid w:val="71CEC499"/>
    <w:rsid w:val="7203A8D4"/>
    <w:rsid w:val="722AD593"/>
    <w:rsid w:val="7261E540"/>
    <w:rsid w:val="727587A6"/>
    <w:rsid w:val="72905629"/>
    <w:rsid w:val="729DBE7C"/>
    <w:rsid w:val="74E39190"/>
    <w:rsid w:val="753FFA08"/>
    <w:rsid w:val="7588B024"/>
    <w:rsid w:val="76ACFE7B"/>
    <w:rsid w:val="782F4D04"/>
    <w:rsid w:val="79BE0085"/>
    <w:rsid w:val="79D2EC8F"/>
    <w:rsid w:val="79FD9EF3"/>
    <w:rsid w:val="7A850329"/>
    <w:rsid w:val="7B7480A6"/>
    <w:rsid w:val="7C406965"/>
    <w:rsid w:val="7C44200A"/>
    <w:rsid w:val="7C481BD6"/>
    <w:rsid w:val="7CBE7DE4"/>
    <w:rsid w:val="7CD81127"/>
    <w:rsid w:val="7CE32E03"/>
    <w:rsid w:val="7F9202ED"/>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B9BA"/>
  <w14:discardImageEditingData/>
  <w15:chartTrackingRefBased/>
  <w15:docId w15:val="{8CFB9045-6592-4B77-860A-60A64F45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7082F"/>
    <w:pPr>
      <w:keepNext/>
      <w:keepLines/>
      <w:outlineLvl w:val="0"/>
    </w:pPr>
    <w:rPr>
      <w:rFonts w:ascii="Montserrat" w:hAnsi="Montserrat"/>
      <w:b/>
      <w:color w:val="344453" w:themeColor="accent1" w:themeTint="E6"/>
      <w:sz w:val="36"/>
      <w:szCs w:val="60"/>
    </w:rPr>
  </w:style>
  <w:style w:type="paragraph" w:styleId="Heading2">
    <w:name w:val="heading 2"/>
    <w:basedOn w:val="Normal"/>
    <w:next w:val="BodyText"/>
    <w:link w:val="Heading2Char"/>
    <w:uiPriority w:val="9"/>
    <w:unhideWhenUsed/>
    <w:qFormat/>
    <w:rsid w:val="001B7425"/>
    <w:pPr>
      <w:keepNext/>
      <w:keepLines/>
      <w:spacing w:before="240"/>
      <w:outlineLvl w:val="1"/>
    </w:pPr>
    <w:rPr>
      <w:rFonts w:ascii="Montserrat" w:eastAsiaTheme="majorEastAsia" w:hAnsi="Montserrat" w:cstheme="majorBidi"/>
      <w:color w:val="344453" w:themeColor="accent1" w:themeTint="E6"/>
      <w:sz w:val="24"/>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7082F"/>
    <w:rPr>
      <w:rFonts w:ascii="Montserrat" w:hAnsi="Montserrat"/>
      <w:b/>
      <w:color w:val="344453" w:themeColor="accent1" w:themeTint="E6"/>
      <w:sz w:val="36"/>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1"/>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1B7425"/>
    <w:rPr>
      <w:rFonts w:ascii="Montserrat" w:eastAsiaTheme="majorEastAsia" w:hAnsi="Montserrat" w:cstheme="majorBidi"/>
      <w:color w:val="344453" w:themeColor="accent1" w:themeTint="E6"/>
      <w:sz w:val="24"/>
      <w:szCs w:val="40"/>
    </w:rPr>
  </w:style>
  <w:style w:type="paragraph" w:customStyle="1" w:styleId="NumberedListlvl1">
    <w:name w:val="Numbered List lvl1"/>
    <w:basedOn w:val="ListParagraph"/>
    <w:uiPriority w:val="9"/>
    <w:qFormat/>
    <w:rsid w:val="009F5D36"/>
    <w:pPr>
      <w:numPr>
        <w:numId w:val="7"/>
      </w:numPr>
      <w:spacing w:after="0"/>
      <w:contextualSpacing w:val="0"/>
    </w:pPr>
    <w:rPr>
      <w:rFonts w:ascii="Arial" w:hAnsi="Arial"/>
    </w:rPr>
  </w:style>
  <w:style w:type="paragraph" w:customStyle="1" w:styleId="BulletedListlvl1">
    <w:name w:val="Bulleted List lvl1"/>
    <w:uiPriority w:val="10"/>
    <w:qFormat/>
    <w:rsid w:val="009F5D36"/>
    <w:pPr>
      <w:numPr>
        <w:numId w:val="3"/>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2"/>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6"/>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val="0"/>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Main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43375F"/>
    <w:rPr>
      <w:sz w:val="16"/>
      <w:szCs w:val="16"/>
    </w:rPr>
  </w:style>
  <w:style w:type="paragraph" w:styleId="CommentText">
    <w:name w:val="annotation text"/>
    <w:basedOn w:val="Normal"/>
    <w:link w:val="CommentTextChar"/>
    <w:uiPriority w:val="99"/>
    <w:unhideWhenUsed/>
    <w:rsid w:val="0043375F"/>
    <w:pPr>
      <w:spacing w:line="240" w:lineRule="auto"/>
    </w:pPr>
  </w:style>
  <w:style w:type="character" w:customStyle="1" w:styleId="CommentTextChar">
    <w:name w:val="Comment Text Char"/>
    <w:basedOn w:val="DefaultParagraphFont"/>
    <w:link w:val="CommentText"/>
    <w:uiPriority w:val="99"/>
    <w:rsid w:val="0043375F"/>
  </w:style>
  <w:style w:type="paragraph" w:styleId="CommentSubject">
    <w:name w:val="annotation subject"/>
    <w:basedOn w:val="CommentText"/>
    <w:next w:val="CommentText"/>
    <w:link w:val="CommentSubjectChar"/>
    <w:uiPriority w:val="99"/>
    <w:semiHidden/>
    <w:unhideWhenUsed/>
    <w:rsid w:val="0043375F"/>
    <w:rPr>
      <w:b/>
      <w:bCs/>
    </w:rPr>
  </w:style>
  <w:style w:type="character" w:customStyle="1" w:styleId="CommentSubjectChar">
    <w:name w:val="Comment Subject Char"/>
    <w:basedOn w:val="CommentTextChar"/>
    <w:link w:val="CommentSubject"/>
    <w:uiPriority w:val="99"/>
    <w:semiHidden/>
    <w:rsid w:val="0043375F"/>
    <w:rPr>
      <w:b/>
      <w:bCs/>
    </w:rPr>
  </w:style>
  <w:style w:type="paragraph" w:styleId="Revision">
    <w:name w:val="Revision"/>
    <w:hidden/>
    <w:uiPriority w:val="99"/>
    <w:semiHidden/>
    <w:rsid w:val="00D32EA4"/>
    <w:pPr>
      <w:spacing w:after="0" w:line="240" w:lineRule="auto"/>
    </w:pPr>
  </w:style>
  <w:style w:type="paragraph" w:customStyle="1" w:styleId="TableParagraph">
    <w:name w:val="Table Paragraph"/>
    <w:basedOn w:val="Normal"/>
    <w:uiPriority w:val="1"/>
    <w:qFormat/>
    <w:rsid w:val="00080D8E"/>
    <w:pPr>
      <w:widowControl w:val="0"/>
      <w:spacing w:after="0" w:line="240" w:lineRule="auto"/>
    </w:pPr>
    <w:rPr>
      <w:rFonts w:eastAsiaTheme="minorEastAsia"/>
      <w:color w:val="auto"/>
      <w:sz w:val="22"/>
      <w:szCs w:val="22"/>
    </w:rPr>
  </w:style>
  <w:style w:type="paragraph" w:customStyle="1" w:styleId="Default">
    <w:name w:val="Default"/>
    <w:rsid w:val="00435EAF"/>
    <w:pPr>
      <w:autoSpaceDE w:val="0"/>
      <w:autoSpaceDN w:val="0"/>
      <w:adjustRightInd w:val="0"/>
      <w:spacing w:after="0" w:line="240" w:lineRule="auto"/>
    </w:pPr>
    <w:rPr>
      <w:rFonts w:ascii="Arial" w:hAnsi="Arial" w:cs="Arial"/>
      <w:color w:val="000000"/>
      <w:sz w:val="24"/>
      <w:szCs w:val="24"/>
      <w:lang w:bidi="he-IL"/>
    </w:rPr>
  </w:style>
  <w:style w:type="character" w:styleId="Hyperlink">
    <w:name w:val="Hyperlink"/>
    <w:basedOn w:val="DefaultParagraphFont"/>
    <w:uiPriority w:val="99"/>
    <w:unhideWhenUsed/>
    <w:rsid w:val="003A5F19"/>
    <w:rPr>
      <w:color w:val="0289C8" w:themeColor="hyperlink"/>
      <w:u w:val="single"/>
    </w:rPr>
  </w:style>
  <w:style w:type="character" w:styleId="UnresolvedMention">
    <w:name w:val="Unresolved Mention"/>
    <w:basedOn w:val="DefaultParagraphFont"/>
    <w:uiPriority w:val="99"/>
    <w:semiHidden/>
    <w:unhideWhenUsed/>
    <w:rsid w:val="003A5F19"/>
    <w:rPr>
      <w:color w:val="605E5C"/>
      <w:shd w:val="clear" w:color="auto" w:fill="E1DFDD"/>
    </w:rPr>
  </w:style>
  <w:style w:type="character" w:styleId="FollowedHyperlink">
    <w:name w:val="FollowedHyperlink"/>
    <w:basedOn w:val="DefaultParagraphFont"/>
    <w:uiPriority w:val="99"/>
    <w:semiHidden/>
    <w:unhideWhenUsed/>
    <w:rsid w:val="007219A9"/>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2297">
      <w:bodyDiv w:val="1"/>
      <w:marLeft w:val="0"/>
      <w:marRight w:val="0"/>
      <w:marTop w:val="0"/>
      <w:marBottom w:val="0"/>
      <w:divBdr>
        <w:top w:val="none" w:sz="0" w:space="0" w:color="auto"/>
        <w:left w:val="none" w:sz="0" w:space="0" w:color="auto"/>
        <w:bottom w:val="none" w:sz="0" w:space="0" w:color="auto"/>
        <w:right w:val="none" w:sz="0" w:space="0" w:color="auto"/>
      </w:divBdr>
    </w:div>
    <w:div w:id="411969764">
      <w:bodyDiv w:val="1"/>
      <w:marLeft w:val="0"/>
      <w:marRight w:val="0"/>
      <w:marTop w:val="0"/>
      <w:marBottom w:val="0"/>
      <w:divBdr>
        <w:top w:val="none" w:sz="0" w:space="0" w:color="auto"/>
        <w:left w:val="none" w:sz="0" w:space="0" w:color="auto"/>
        <w:bottom w:val="none" w:sz="0" w:space="0" w:color="auto"/>
        <w:right w:val="none" w:sz="0" w:space="0" w:color="auto"/>
      </w:divBdr>
    </w:div>
    <w:div w:id="740257417">
      <w:bodyDiv w:val="1"/>
      <w:marLeft w:val="0"/>
      <w:marRight w:val="0"/>
      <w:marTop w:val="0"/>
      <w:marBottom w:val="0"/>
      <w:divBdr>
        <w:top w:val="none" w:sz="0" w:space="0" w:color="auto"/>
        <w:left w:val="none" w:sz="0" w:space="0" w:color="auto"/>
        <w:bottom w:val="none" w:sz="0" w:space="0" w:color="auto"/>
        <w:right w:val="none" w:sz="0" w:space="0" w:color="auto"/>
      </w:divBdr>
    </w:div>
    <w:div w:id="928851482">
      <w:bodyDiv w:val="1"/>
      <w:marLeft w:val="0"/>
      <w:marRight w:val="0"/>
      <w:marTop w:val="0"/>
      <w:marBottom w:val="0"/>
      <w:divBdr>
        <w:top w:val="none" w:sz="0" w:space="0" w:color="auto"/>
        <w:left w:val="none" w:sz="0" w:space="0" w:color="auto"/>
        <w:bottom w:val="none" w:sz="0" w:space="0" w:color="auto"/>
        <w:right w:val="none" w:sz="0" w:space="0" w:color="auto"/>
      </w:divBdr>
    </w:div>
    <w:div w:id="948899494">
      <w:bodyDiv w:val="1"/>
      <w:marLeft w:val="0"/>
      <w:marRight w:val="0"/>
      <w:marTop w:val="0"/>
      <w:marBottom w:val="0"/>
      <w:divBdr>
        <w:top w:val="none" w:sz="0" w:space="0" w:color="auto"/>
        <w:left w:val="none" w:sz="0" w:space="0" w:color="auto"/>
        <w:bottom w:val="none" w:sz="0" w:space="0" w:color="auto"/>
        <w:right w:val="none" w:sz="0" w:space="0" w:color="auto"/>
      </w:divBdr>
    </w:div>
    <w:div w:id="118170567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4643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losingthegap.gov.au/sites/default/files/2025-06/joint-council-communique-20-06-2025.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428b65aa-4f22-49fc-95e7-1bc50158a705">
      <Terms xmlns="http://schemas.microsoft.com/office/infopath/2007/PartnerControls"/>
    </TaxKeywordTaxHTField>
    <ShareHubID xmlns="e771ab56-0c5d-40e7-b080-2686d2b89623" xsi:nil="true"/>
    <_ip_UnifiedCompliancePolicyProperties xmlns="http://schemas.microsoft.com/sharepoint/v3" xsi:nil="true"/>
    <TaxCatchAll xmlns="428b65aa-4f22-49fc-95e7-1bc50158a705">
      <Value>1</Value>
    </TaxCatchAll>
    <Comments xmlns="http://schemas.microsoft.com/sharepoint/v3" xsi:nil="true"/>
    <_dlc_DocId xmlns="428b65aa-4f22-49fc-95e7-1bc50158a705">NIAAdoc-1599535510-49984</_dlc_DocId>
    <_dlc_DocIdUrl xmlns="428b65aa-4f22-49fc-95e7-1bc50158a705">
      <Url>https://indcld.sharepoint.com/sites/niaa-pctgt/_layouts/15/DocIdRedir.aspx?ID=NIAAdoc-1599535510-49984</Url>
      <Description>NIAAdoc-1599535510-49984</Description>
    </_dlc_DocIdUrl>
    <lcf76f155ced4ddcb4097134ff3c332f xmlns="8c1bd53c-d2e8-439f-bcab-624744756b2a">
      <Terms xmlns="http://schemas.microsoft.com/office/infopath/2007/PartnerControls"/>
    </lcf76f155ced4ddcb4097134ff3c332f>
    <b0143d805d2047a192d3d0877f6a5a5c xmlns="428b65aa-4f22-49fc-95e7-1bc50158a705">
      <Terms xmlns="http://schemas.microsoft.com/office/infopath/2007/PartnerControls"/>
    </b0143d805d2047a192d3d0877f6a5a5c>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documentManagement>
</p:properties>
</file>

<file path=customXml/item3.xml><?xml version="1.0" encoding="utf-8"?>
<root>
  <Name/>
  <Classification>OFFIIAL</Classification>
  <DLM/>
  <SectionName/>
  <DH/>
  <Byline/>
</root>
</file>

<file path=customXml/item4.xml><?xml version="1.0" encoding="utf-8"?>
<ct:contentTypeSchema xmlns:ct="http://schemas.microsoft.com/office/2006/metadata/contentType" xmlns:ma="http://schemas.microsoft.com/office/2006/metadata/properties/metaAttributes" ct:_="" ma:_="" ma:contentTypeName="Document" ma:contentTypeID="0x010100C504FF8F7F473849A99C5F910717F196" ma:contentTypeVersion="34" ma:contentTypeDescription="Create a new document." ma:contentTypeScope="" ma:versionID="23add6c87d179a873f76908776ef5790">
  <xsd:schema xmlns:xsd="http://www.w3.org/2001/XMLSchema" xmlns:xs="http://www.w3.org/2001/XMLSchema" xmlns:p="http://schemas.microsoft.com/office/2006/metadata/properties" xmlns:ns1="http://schemas.microsoft.com/sharepoint/v3" xmlns:ns2="428b65aa-4f22-49fc-95e7-1bc50158a705" xmlns:ns3="e771ab56-0c5d-40e7-b080-2686d2b89623" xmlns:ns4="8c1bd53c-d2e8-439f-bcab-624744756b2a" targetNamespace="http://schemas.microsoft.com/office/2006/metadata/properties" ma:root="true" ma:fieldsID="0e6eaf4753b2ce85390b490c85a273d4" ns1:_="" ns2:_="" ns3:_="" ns4:_="">
    <xsd:import namespace="http://schemas.microsoft.com/sharepoint/v3"/>
    <xsd:import namespace="428b65aa-4f22-49fc-95e7-1bc50158a705"/>
    <xsd:import namespace="e771ab56-0c5d-40e7-b080-2686d2b89623"/>
    <xsd:import namespace="8c1bd53c-d2e8-439f-bcab-624744756b2a"/>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bd53c-d2e8-439f-bcab-624744756b2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34572-B82A-4183-8942-193579807786}">
  <ds:schemaRefs>
    <ds:schemaRef ds:uri="http://schemas.openxmlformats.org/officeDocument/2006/bibliography"/>
  </ds:schemaRefs>
</ds:datastoreItem>
</file>

<file path=customXml/itemProps2.xml><?xml version="1.0" encoding="utf-8"?>
<ds:datastoreItem xmlns:ds="http://schemas.openxmlformats.org/officeDocument/2006/customXml" ds:itemID="{53B99B1C-A28E-41DC-BC11-5DF6E31C9BF1}">
  <ds:schemaRefs>
    <ds:schemaRef ds:uri="http://schemas.microsoft.com/office/2006/metadata/properties"/>
    <ds:schemaRef ds:uri="http://schemas.microsoft.com/office/infopath/2007/PartnerControls"/>
    <ds:schemaRef ds:uri="http://schemas.microsoft.com/sharepoint/v3"/>
    <ds:schemaRef ds:uri="428b65aa-4f22-49fc-95e7-1bc50158a705"/>
    <ds:schemaRef ds:uri="e771ab56-0c5d-40e7-b080-2686d2b89623"/>
    <ds:schemaRef ds:uri="8c1bd53c-d2e8-439f-bcab-624744756b2a"/>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9D27CB63-0ED2-46E9-BF39-4E6E6CCF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8c1bd53c-d2e8-439f-bcab-62474475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FAB84-D632-4A83-9C5B-D4E551AAFBAB}">
  <ds:schemaRefs>
    <ds:schemaRef ds:uri="http://schemas.microsoft.com/sharepoint/events"/>
  </ds:schemaRefs>
</ds:datastoreItem>
</file>

<file path=customXml/itemProps6.xml><?xml version="1.0" encoding="utf-8"?>
<ds:datastoreItem xmlns:ds="http://schemas.openxmlformats.org/officeDocument/2006/customXml" ds:itemID="{09AD00AF-A5B0-4720-B1C5-9F9147029FAD}">
  <ds:schemaRefs>
    <ds:schemaRef ds:uri="http://schemas.microsoft.com/sharepoint/v3/contenttype/form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David</dc:creator>
  <cp:keywords/>
  <dc:description/>
  <cp:lastModifiedBy>Scotty KIMBER</cp:lastModifiedBy>
  <cp:revision>9</cp:revision>
  <dcterms:created xsi:type="dcterms:W3CDTF">2025-08-08T07:47:00Z</dcterms:created>
  <dcterms:modified xsi:type="dcterms:W3CDTF">2025-08-27T03:33:00Z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0x010100C504FF8F7F473849A99C5F910717F196</vt:lpwstr>
  </property>
  <property fmtid="{D5CDD505-2E9C-101B-9397-08002B2CF9AE}" pid="3" name="HPRMSecurityCaveat">
    <vt:lpwstr/>
  </property>
  <property fmtid="{D5CDD505-2E9C-101B-9397-08002B2CF9AE}" pid="4" name="ESearchTags">
    <vt:lpwstr/>
  </property>
  <property fmtid="{D5CDD505-2E9C-101B-9397-08002B2CF9AE}" pid="5" name="HPRMSecurityLevel">
    <vt:lpwstr>1;#OFFICIAL|11463c70-78df-4e3b-b0ff-f66cd3cb26ec</vt:lpwstr>
  </property>
  <property fmtid="{D5CDD505-2E9C-101B-9397-08002B2CF9AE}" pid="6" name="PMC.ESearch.TagGeneratedTime">
    <vt:lpwstr>2023-05-16T09:50:27</vt:lpwstr>
  </property>
  <property fmtid="{D5CDD505-2E9C-101B-9397-08002B2CF9AE}" pid="7" name="Order">
    <vt:r8>2400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60e9ce7a,1b67be5b,5c1b4589</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355ead02,3b9b7754,3a252c1</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InformationMarker">
    <vt:lpwstr/>
  </property>
  <property fmtid="{D5CDD505-2E9C-101B-9397-08002B2CF9AE}" pid="25" name="SecurityClassification">
    <vt:lpwstr>1;#OFFICIAL|9e0ec9cb-4e7f-4d4a-bd32-1ee7525c6d87</vt:lpwstr>
  </property>
  <property fmtid="{D5CDD505-2E9C-101B-9397-08002B2CF9AE}" pid="26" name="_dlc_DocIdItemGuid">
    <vt:lpwstr>ae1e7f3a-3cf3-460f-ab94-69e6ed53cd90</vt:lpwstr>
  </property>
  <property fmtid="{D5CDD505-2E9C-101B-9397-08002B2CF9AE}" pid="27" name="MediaServiceImageTags">
    <vt:lpwstr/>
  </property>
</Properties>
</file>